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0" w:firstLineChars="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附件1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2022年促进经济高质量发展专项资金（发展内贸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促消费方向）消费枢纽建设项目资金分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配方案</w:t>
      </w:r>
    </w:p>
    <w:tbl>
      <w:tblPr>
        <w:tblStyle w:val="2"/>
        <w:tblW w:w="98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60"/>
        <w:gridCol w:w="5834"/>
        <w:gridCol w:w="1087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拟支持金额（万元）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拟支持总金额（万元）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全国示范步行街（广州北京路步行街）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省级示范特色步行街（商圈）（广州市天河路商圈 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省级示范特色步行街（商圈）（广州市永庆坊）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省级示范特色步行街（商圈）（广州上下九商业步行街）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省级示范特色步行街（商圈）（深圳华强北商圈）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区域消费中心城市培育建设（珠海市）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省级示范特色步行街（商圈）（珠海华发商都）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省级示范特色步行街（商圈）（珠海富华里）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区域消费中心城市培育建设（汕头市）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区域消费中心城市培育建设（佛山市）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省级示范特色步行街（商圈）（佛山岭南天地步行街商圈）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省级示范特色步行街（商圈）（佛山创意园步行街）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省级示范特色步行街（商圈）（顺德华侨城欢乐海岸PLUS）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区域消费中心城市培育建设（韶关市）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省级示范特色步行街（商圈）（百年东街）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河源市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梅州市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省级示范特色步行街（商圈）（演达大道港惠商圈 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区域消费中心城市培育建设（东莞市）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省级示范特色步行街（商圈）（鸿福路商圈 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中山市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省级示范特色步行街（商圈）（环五邑华侨广场商圈  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省级示范特色步行街（商圈）（阳江新都汇时代广场）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区域消费中心城市培育建设（湛江市）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省级示范特色步行街（商圈）（星湖国际广场）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省级示范特色步行街（商圈）（牌坊街步行街（商圈））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促消费奖励资金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FDD7F9-340C-47CA-B920-45D4AD265F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66541D5-0D25-442C-B0F7-B5A17333D53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1A59737-97BA-4791-853C-4058EDD74E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034C899-13C1-4B31-81BB-B92FD650C06B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F9C9E7A-C447-45CB-99FF-936A2836A0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F630A"/>
    <w:rsid w:val="5EBD889B"/>
    <w:rsid w:val="5FDF630A"/>
    <w:rsid w:val="62C42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2022-03-04T23:58:00Z</dcterms:created>
  <dc:creator>swt</dc:creator>
  <cp:lastModifiedBy>斷麤嵞i</cp:lastModifiedBy>
  <dcterms:modified xsi:type="dcterms:W3CDTF">2022-03-04T10:00:51Z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08B7D20186C74D08BA5DB13B271D2E72</vt:lpwstr>
  </property>
</Properties>
</file>