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3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74"/>
        <w:gridCol w:w="1326"/>
        <w:gridCol w:w="1424"/>
        <w:gridCol w:w="984"/>
        <w:gridCol w:w="1829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预算支出绩效目标申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2023年促进经济高质量发展专项资金-重点展会和展会配套体系资金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省级财政专项资金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7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用款单位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广东省商务厅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起始年度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到期年度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当年度金额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7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通过支持重点展会企业和会展项目，推动一批重点展会向世界高端展会升级，培育一批行业龙头展会，培育一批专业化、国际化会展企业，构建健康发展的会展经济生态。</w:t>
            </w:r>
            <w:r>
              <w:rPr>
                <w:rStyle w:val="5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 xml:space="preserve"> 推动会展标准化建设，采集研究会展年度数据。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实施周期总目标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3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2025年全省展览面积和展会数量有所提升，将推动一批重点展会向世界高端展会升级，培育一批行业龙头展会，培育一批专业化、国际化会展企业，构建健康发展的会展经济生态。</w:t>
            </w:r>
          </w:p>
        </w:tc>
        <w:tc>
          <w:tcPr>
            <w:tcW w:w="3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2023年全省展览面积达1350万平方米以上，10万平方米以上展会数量达32个以上。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实施周期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拟制会展具体标准（个）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每年≥1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每年≥1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采集全省会展数据（份）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展览总面积（万平方米）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每年≥1350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10万平方米以上展会数量（个）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default" w:ascii="楷体_GB2312" w:hAnsi="楷体_GB2312" w:eastAsia="楷体_GB2312" w:cs="楷体_GB2312"/>
                <w:color w:val="auto"/>
                <w:sz w:val="21"/>
                <w:szCs w:val="21"/>
                <w:lang w:val="en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2023年12月底前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获支持企业满意度（%）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每年≧</w:t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≧90</w:t>
            </w:r>
          </w:p>
        </w:tc>
      </w:tr>
    </w:tbl>
    <w:p>
      <w:pPr>
        <w:pStyle w:val="2"/>
      </w:pPr>
    </w:p>
    <w:p/>
    <w:sectPr>
      <w:pgSz w:w="11906" w:h="16838"/>
      <w:pgMar w:top="1417" w:right="1587" w:bottom="1247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A8CEE8-EF62-44F9-A701-5A5EB86C89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4CD3A1-1436-4238-88D2-135845E4360F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BED834-65EA-44BB-89C8-6BD842781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58B87264"/>
    <w:rsid w:val="58B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font91"/>
    <w:basedOn w:val="4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2023-02-20T02:22:00Z</dcterms:created>
  <dc:creator>陈晓凤</dc:creator>
  <cp:lastModifiedBy>陈晓凤</cp:lastModifiedBy>
  <dcterms:modified xsi:type="dcterms:W3CDTF">2023-02-20T02:25:08Z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F1221BDC71AB426B83C2D465DA9C5099</vt:lpwstr>
  </property>
</Properties>
</file>