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806"/>
        </w:tabs>
        <w:kinsoku/>
        <w:wordWrap/>
        <w:overflowPunct/>
        <w:topLinePunct w:val="0"/>
        <w:autoSpaceDE/>
        <w:autoSpaceDN/>
        <w:bidi w:val="0"/>
        <w:adjustRightInd/>
        <w:snapToGrid/>
        <w:spacing w:before="156" w:beforeLines="50" w:after="156" w:afterLines="50" w:line="600" w:lineRule="exact"/>
        <w:jc w:val="both"/>
        <w:textAlignment w:val="auto"/>
        <w:outlineLvl w:val="0"/>
        <w:rPr>
          <w:rFonts w:hint="eastAsia" w:ascii="黑体" w:hAnsi="黑体" w:eastAsia="黑体" w:cs="黑体"/>
          <w:color w:val="auto"/>
          <w:w w:val="100"/>
          <w:sz w:val="32"/>
          <w:szCs w:val="32"/>
          <w:highlight w:val="none"/>
          <w:lang w:val="en-US" w:eastAsia="zh-CN"/>
        </w:rPr>
      </w:pPr>
      <w:r>
        <w:rPr>
          <w:rFonts w:hint="eastAsia" w:ascii="黑体" w:hAnsi="黑体" w:eastAsia="黑体" w:cs="黑体"/>
          <w:color w:val="auto"/>
          <w:w w:val="100"/>
          <w:sz w:val="32"/>
          <w:szCs w:val="32"/>
          <w:highlight w:val="none"/>
          <w:lang w:val="en-US" w:eastAsia="zh-CN"/>
        </w:rPr>
        <w:t>附件2</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lang w:val="en-US" w:eastAsia="zh-CN"/>
        </w:rPr>
      </w:pPr>
    </w:p>
    <w:p>
      <w:pPr>
        <w:keepNext w:val="0"/>
        <w:keepLines w:val="0"/>
        <w:pageBreakBefore w:val="0"/>
        <w:widowControl w:val="0"/>
        <w:tabs>
          <w:tab w:val="left" w:pos="1806"/>
        </w:tabs>
        <w:kinsoku/>
        <w:wordWrap/>
        <w:overflowPunct/>
        <w:topLinePunct w:val="0"/>
        <w:autoSpaceDE/>
        <w:autoSpaceDN/>
        <w:bidi w:val="0"/>
        <w:adjustRightInd/>
        <w:snapToGrid/>
        <w:spacing w:before="156" w:beforeLines="50" w:after="156" w:afterLines="50" w:line="600" w:lineRule="exact"/>
        <w:jc w:val="center"/>
        <w:textAlignment w:val="auto"/>
        <w:outlineLvl w:val="0"/>
        <w:rPr>
          <w:rFonts w:hint="eastAsia" w:ascii="Times New Roman" w:hAnsi="Times New Roman" w:eastAsia="方正小标宋简体" w:cs="Times New Roman"/>
          <w:color w:val="auto"/>
          <w:w w:val="100"/>
          <w:sz w:val="40"/>
          <w:szCs w:val="40"/>
          <w:highlight w:val="none"/>
          <w:lang w:val="en-US" w:eastAsia="zh-CN"/>
        </w:rPr>
      </w:pPr>
      <w:r>
        <w:rPr>
          <w:rFonts w:hint="eastAsia" w:ascii="Times New Roman" w:hAnsi="Times New Roman" w:eastAsia="方正小标宋简体" w:cs="Times New Roman"/>
          <w:color w:val="auto"/>
          <w:w w:val="100"/>
          <w:sz w:val="40"/>
          <w:szCs w:val="40"/>
          <w:highlight w:val="none"/>
          <w:lang w:val="en-US" w:eastAsia="zh-CN"/>
        </w:rPr>
        <w:t>广东省商务厅委托横琴粤澳深度合作区商事发展局实施的行政职权目录</w:t>
      </w:r>
    </w:p>
    <w:p>
      <w:pPr>
        <w:pStyle w:val="2"/>
        <w:rPr>
          <w:rFonts w:hint="eastAsia"/>
          <w:lang w:val="en-US" w:eastAsia="zh-CN"/>
        </w:rPr>
      </w:pPr>
    </w:p>
    <w:tbl>
      <w:tblPr>
        <w:tblStyle w:val="5"/>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750"/>
        <w:gridCol w:w="1215"/>
        <w:gridCol w:w="4110"/>
        <w:gridCol w:w="1323"/>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vertAlign w:val="baseline"/>
              </w:rPr>
            </w:pPr>
            <w:r>
              <w:rPr>
                <w:rFonts w:hint="eastAsia" w:ascii="黑体" w:hAnsi="宋体" w:eastAsia="黑体" w:cs="黑体"/>
                <w:i w:val="0"/>
                <w:iCs w:val="0"/>
                <w:color w:val="000000"/>
                <w:kern w:val="0"/>
                <w:sz w:val="24"/>
                <w:szCs w:val="24"/>
                <w:u w:val="none"/>
                <w:lang w:val="en-US" w:eastAsia="zh-CN" w:bidi="ar"/>
              </w:rPr>
              <w:t>序号</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vertAlign w:val="baseline"/>
              </w:rPr>
            </w:pPr>
            <w:r>
              <w:rPr>
                <w:rFonts w:hint="eastAsia" w:ascii="黑体" w:hAnsi="宋体" w:eastAsia="黑体" w:cs="黑体"/>
                <w:i w:val="0"/>
                <w:iCs w:val="0"/>
                <w:color w:val="000000"/>
                <w:kern w:val="0"/>
                <w:sz w:val="24"/>
                <w:szCs w:val="24"/>
                <w:u w:val="none"/>
                <w:lang w:val="en-US" w:eastAsia="zh-CN" w:bidi="ar"/>
              </w:rPr>
              <w:t>类别</w:t>
            </w:r>
          </w:p>
        </w:tc>
        <w:tc>
          <w:tcPr>
            <w:tcW w:w="1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vertAlign w:val="baseline"/>
              </w:rPr>
            </w:pPr>
            <w:r>
              <w:rPr>
                <w:rFonts w:hint="eastAsia" w:ascii="黑体" w:hAnsi="宋体" w:eastAsia="黑体" w:cs="黑体"/>
                <w:i w:val="0"/>
                <w:iCs w:val="0"/>
                <w:color w:val="000000"/>
                <w:kern w:val="0"/>
                <w:sz w:val="24"/>
                <w:szCs w:val="24"/>
                <w:u w:val="none"/>
                <w:lang w:val="en-US" w:eastAsia="zh-CN" w:bidi="ar"/>
              </w:rPr>
              <w:t>实施单位</w:t>
            </w:r>
          </w:p>
        </w:tc>
        <w:tc>
          <w:tcPr>
            <w:tcW w:w="41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vertAlign w:val="baseline"/>
              </w:rPr>
            </w:pPr>
            <w:r>
              <w:rPr>
                <w:rFonts w:hint="eastAsia" w:ascii="黑体" w:hAnsi="宋体" w:eastAsia="黑体" w:cs="黑体"/>
                <w:i w:val="0"/>
                <w:iCs w:val="0"/>
                <w:color w:val="000000"/>
                <w:kern w:val="0"/>
                <w:sz w:val="24"/>
                <w:szCs w:val="24"/>
                <w:u w:val="none"/>
                <w:lang w:val="en-US" w:eastAsia="zh-CN" w:bidi="ar"/>
              </w:rPr>
              <w:t>省级事项名称</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vertAlign w:val="baseline"/>
              </w:rPr>
            </w:pPr>
            <w:r>
              <w:rPr>
                <w:rFonts w:hint="eastAsia" w:ascii="黑体" w:hAnsi="宋体" w:eastAsia="黑体" w:cs="黑体"/>
                <w:i w:val="0"/>
                <w:iCs w:val="0"/>
                <w:color w:val="000000"/>
                <w:kern w:val="0"/>
                <w:sz w:val="24"/>
                <w:szCs w:val="24"/>
                <w:u w:val="none"/>
                <w:lang w:val="en-US" w:eastAsia="zh-CN" w:bidi="ar"/>
              </w:rPr>
              <w:t>承接单位</w:t>
            </w:r>
          </w:p>
        </w:tc>
        <w:tc>
          <w:tcPr>
            <w:tcW w:w="124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vertAlign w:val="baseline"/>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1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省商务厅</w:t>
            </w:r>
          </w:p>
        </w:tc>
        <w:tc>
          <w:tcPr>
            <w:tcW w:w="41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对未按规定进行预收资金管理、实行资金存管制度、签订资金存管协议、填报单用途商业预付卡业务情况的行为的行政处罚</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商事服务局</w:t>
            </w:r>
          </w:p>
        </w:tc>
        <w:tc>
          <w:tcPr>
            <w:tcW w:w="1242"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1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省商务厅</w:t>
            </w:r>
          </w:p>
        </w:tc>
        <w:tc>
          <w:tcPr>
            <w:tcW w:w="41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对规模发卡、集团发卡、品牌发卡企业未按规定建立业务处理系统并保障其信息安全和运行质量的，发生重大或不可恢复的技术故障时未立即向备案机关报告的行为的行政处罚</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商事服务局</w:t>
            </w:r>
          </w:p>
        </w:tc>
        <w:tc>
          <w:tcPr>
            <w:tcW w:w="1242"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1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省商务厅</w:t>
            </w:r>
          </w:p>
        </w:tc>
        <w:tc>
          <w:tcPr>
            <w:tcW w:w="41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对拍卖企业出租、擅自转让拍卖经营权的行为的行政处罚</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商事服务局</w:t>
            </w:r>
          </w:p>
        </w:tc>
        <w:tc>
          <w:tcPr>
            <w:tcW w:w="1242"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1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省商务厅</w:t>
            </w:r>
          </w:p>
        </w:tc>
        <w:tc>
          <w:tcPr>
            <w:tcW w:w="41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对拍卖企业雇佣未依法注册的拍卖师或其他人员充任拍卖师主持拍卖活动的行为的行政处罚</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商事服务局</w:t>
            </w:r>
          </w:p>
        </w:tc>
        <w:tc>
          <w:tcPr>
            <w:tcW w:w="1242"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1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省商务厅</w:t>
            </w:r>
          </w:p>
        </w:tc>
        <w:tc>
          <w:tcPr>
            <w:tcW w:w="41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对拍卖企业举办拍卖活动，未按照《拍卖法》及相关法律、行政法规规定的日期进行公告、或者未在拍卖会前展示拍卖标的，为竞买人提供查看拍卖标的的条件并向竞买人提供有关资料等行为的行政处罚</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商事服务局</w:t>
            </w:r>
          </w:p>
        </w:tc>
        <w:tc>
          <w:tcPr>
            <w:tcW w:w="1242"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1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省商务厅</w:t>
            </w:r>
          </w:p>
        </w:tc>
        <w:tc>
          <w:tcPr>
            <w:tcW w:w="41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机电产品国际招标投标活动中，对必须进行招标的项目而不招标，将必须进行招标的项目化整为零或者以其他任何方式规避招标的；招标人不按照规定发布资格预审公告或者招标公告，构成规避招标的行为的处罚</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商事服务局</w:t>
            </w:r>
          </w:p>
        </w:tc>
        <w:tc>
          <w:tcPr>
            <w:tcW w:w="1242"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1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省商务厅</w:t>
            </w:r>
          </w:p>
        </w:tc>
        <w:tc>
          <w:tcPr>
            <w:tcW w:w="41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在机电产品国际招标投标活动中，对招标代理机构泄露招投标情况或与招标人、投标人串通损害国家、社会公共利益或他人权益行为的处罚</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商事服务局</w:t>
            </w:r>
          </w:p>
        </w:tc>
        <w:tc>
          <w:tcPr>
            <w:tcW w:w="1242"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1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省商务厅</w:t>
            </w:r>
          </w:p>
        </w:tc>
        <w:tc>
          <w:tcPr>
            <w:tcW w:w="41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机电产品国际招标投标活动中，对招标代理机构在所代理的招标项目中投标、代理投标或者向该项目投标人提供咨询的，接受委托编制标底的中介机构参加受托编制标底项目的投标或者为该项目的投标人编制投标文件、提供咨询的行为的处罚</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商事服务局</w:t>
            </w:r>
          </w:p>
        </w:tc>
        <w:tc>
          <w:tcPr>
            <w:tcW w:w="1242"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4" w:hRule="atLeast"/>
          <w:jc w:val="center"/>
        </w:trPr>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1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省商务厅</w:t>
            </w:r>
          </w:p>
        </w:tc>
        <w:tc>
          <w:tcPr>
            <w:tcW w:w="41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机电产品国际招标投标活动中，对招标人以不合理的条件限制或者排斥潜在投标人的，对潜在投标人实行歧视待遇的，强制要求投标人组成联合体共同投标的，或者限制投标人之间竞争的；招标人依法应当公开招标的项目不按照规定在指定媒介发布资格预审公告或者招标公告；在不同媒介发布的同一招标项目的资格预审公告或者招标公告的内容不一致，影响潜在投标人申请资格预审或者投标的行为的处罚</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商事服务局</w:t>
            </w:r>
          </w:p>
        </w:tc>
        <w:tc>
          <w:tcPr>
            <w:tcW w:w="1242"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jc w:val="center"/>
        </w:trPr>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1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省商务厅</w:t>
            </w:r>
          </w:p>
        </w:tc>
        <w:tc>
          <w:tcPr>
            <w:tcW w:w="41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在机电产品国际招标投标活动中，对依法必须进行招标的项目的招标人向他人透露已获取招标文件的潜在投标人的名称、数量或者可能影响公平竞争的有关招标投标的其他情况的，或者泄露标底的行为的行政处罚</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商事服务局</w:t>
            </w:r>
          </w:p>
        </w:tc>
        <w:tc>
          <w:tcPr>
            <w:tcW w:w="1242"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11</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1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省商务厅</w:t>
            </w:r>
          </w:p>
        </w:tc>
        <w:tc>
          <w:tcPr>
            <w:tcW w:w="41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在机电产品国际招标投标活动中，对投标人相互串通投标或者与招标人串通投标的，投标人以向招标人或者评标委员会成员行贿的手段谋取中标的行为的行政处罚</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商事服务局</w:t>
            </w:r>
          </w:p>
        </w:tc>
        <w:tc>
          <w:tcPr>
            <w:tcW w:w="1242"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12</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1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省商务厅</w:t>
            </w:r>
          </w:p>
        </w:tc>
        <w:tc>
          <w:tcPr>
            <w:tcW w:w="41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在机电产品国际招标投标活动中，对投标人以他人名义投标或弄虚作假骗取中标的行为的行政处罚</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商事服务局</w:t>
            </w:r>
          </w:p>
        </w:tc>
        <w:tc>
          <w:tcPr>
            <w:tcW w:w="1242"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13</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1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省商务厅</w:t>
            </w:r>
          </w:p>
        </w:tc>
        <w:tc>
          <w:tcPr>
            <w:tcW w:w="41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在机电产品国际招标投标活动中，对依法必须进行招标的项目，招标人违反招标投标法规定，与投标人就投标价格、投标方案等实质性内容进行谈判的行为的行政处罚</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商事服务局</w:t>
            </w:r>
          </w:p>
        </w:tc>
        <w:tc>
          <w:tcPr>
            <w:tcW w:w="1242"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5" w:hRule="atLeast"/>
          <w:jc w:val="center"/>
        </w:trPr>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1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省商务厅</w:t>
            </w:r>
          </w:p>
        </w:tc>
        <w:tc>
          <w:tcPr>
            <w:tcW w:w="41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机电产品国际招标投标活动中，对评标委员会成员收受投标人的财物或者其他好处的，评标委员会成员或者参加评标的有关工作人员向他人透露对投标文件的评审和比较、中标候选人的推荐以及与评标有关的其他情况的行为的行政处罚</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商事服务局</w:t>
            </w:r>
          </w:p>
        </w:tc>
        <w:tc>
          <w:tcPr>
            <w:tcW w:w="1242"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1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省商务厅</w:t>
            </w:r>
          </w:p>
        </w:tc>
        <w:tc>
          <w:tcPr>
            <w:tcW w:w="41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在机电产品国际招标投标活动中，对招标人在评标委员会依法推荐的中标候选人以外确定中标人的，依法必须进行招标的项目在所有投标被评标委员会否决后自行确定中标人的行为的行政处罚</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商事服务局</w:t>
            </w:r>
          </w:p>
        </w:tc>
        <w:tc>
          <w:tcPr>
            <w:tcW w:w="1242"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16</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1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省商务厅</w:t>
            </w:r>
          </w:p>
        </w:tc>
        <w:tc>
          <w:tcPr>
            <w:tcW w:w="41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在机电产品国际招标投标活动中，对招标人与中标人不按招标文件订立合同或两者订立背离合同实质的协议的行为的行政处罚</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商事服务局</w:t>
            </w:r>
          </w:p>
        </w:tc>
        <w:tc>
          <w:tcPr>
            <w:tcW w:w="1242"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17</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1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省商务厅</w:t>
            </w:r>
          </w:p>
        </w:tc>
        <w:tc>
          <w:tcPr>
            <w:tcW w:w="41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在机电产品国际招标投标活动中，对非因不可抗力，中标人不履行与招标人订立的合同的，中标人不按照与招标人订立的合同履行义务的行为的行政处罚</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商事服务局</w:t>
            </w:r>
          </w:p>
        </w:tc>
        <w:tc>
          <w:tcPr>
            <w:tcW w:w="1242"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1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省商务厅</w:t>
            </w:r>
          </w:p>
        </w:tc>
        <w:tc>
          <w:tcPr>
            <w:tcW w:w="41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在机电产品国际招标投标活动中，对招标人超过《中华人民共和国招标投标法实施条例》规定比例收取投标保证金、履约保证金或不按规定退还保证金及银行同期存款利息的行为的行政处罚</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商事服务局</w:t>
            </w:r>
          </w:p>
        </w:tc>
        <w:tc>
          <w:tcPr>
            <w:tcW w:w="1242"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19</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1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省商务厅</w:t>
            </w:r>
          </w:p>
        </w:tc>
        <w:tc>
          <w:tcPr>
            <w:tcW w:w="41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在机电产品国际招标投标活动中，对出让或出租资格、资质证书供他人投标的行为的行政处罚</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商事服务局</w:t>
            </w:r>
          </w:p>
        </w:tc>
        <w:tc>
          <w:tcPr>
            <w:tcW w:w="1242"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1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省商务厅</w:t>
            </w:r>
          </w:p>
        </w:tc>
        <w:tc>
          <w:tcPr>
            <w:tcW w:w="41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在机电产品国际招标投标活动中，对依法必须进行招标项目的招标人不按规定组建评标委员会，或确定、更换评标委员会成员违反招标投标法和招标投标法实施条例规定的行为的行政处罚</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商事服务局</w:t>
            </w:r>
          </w:p>
        </w:tc>
        <w:tc>
          <w:tcPr>
            <w:tcW w:w="1242"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4" w:hRule="atLeast"/>
          <w:jc w:val="center"/>
        </w:trPr>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1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省商务厅</w:t>
            </w:r>
          </w:p>
        </w:tc>
        <w:tc>
          <w:tcPr>
            <w:tcW w:w="41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机电产品国际招标投标活动中，对评标委员会成员应当回避而不回避的；擅离职守的；不按照招标文件规定的评标标准和方法评标的；私下接触投标人的；向招标人征询确定中标人的意向或者接受任何单位或者个人明示或者暗示提出的倾向或者排斥特定投标人的要求的；对依法应当否决的投标不提出否决意见的；暗示或者诱导投标人作出澄清、说明或者接受投标人主动提出的澄清、说明的；其他不客观、不公正履行职务的行为的行政处罚</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商事服务局</w:t>
            </w:r>
          </w:p>
        </w:tc>
        <w:tc>
          <w:tcPr>
            <w:tcW w:w="1242"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22</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1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省商务厅</w:t>
            </w:r>
          </w:p>
        </w:tc>
        <w:tc>
          <w:tcPr>
            <w:tcW w:w="41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在机电产品国际招标投标活动中，对评标委员会成员收受投标人财物或其他好处的行为的行政处罚</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商事服务局</w:t>
            </w:r>
          </w:p>
        </w:tc>
        <w:tc>
          <w:tcPr>
            <w:tcW w:w="1242"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23</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1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省商务厅</w:t>
            </w:r>
          </w:p>
        </w:tc>
        <w:tc>
          <w:tcPr>
            <w:tcW w:w="41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在机电产品国际招标投标活动中，对不按照规定确定中标人的，无正当理由不发出中标通知书、改变中标结果的、不与中标人订立合同，在订立合同时向中标人提出附加条件的行为的行政处罚</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商事服务局</w:t>
            </w:r>
          </w:p>
        </w:tc>
        <w:tc>
          <w:tcPr>
            <w:tcW w:w="1242"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24</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1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省商务厅</w:t>
            </w:r>
          </w:p>
        </w:tc>
        <w:tc>
          <w:tcPr>
            <w:tcW w:w="41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在机电产品国际招标投标活动中，对中标人无正当理由不与招标人订立合同，在签订合同时向招标人提出附加条件，或者不按照招标文件要求提交履约保证金的行为的行政处罚</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商事服务局</w:t>
            </w:r>
          </w:p>
        </w:tc>
        <w:tc>
          <w:tcPr>
            <w:tcW w:w="1242"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jc w:val="center"/>
        </w:trPr>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1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省商务厅</w:t>
            </w:r>
          </w:p>
        </w:tc>
        <w:tc>
          <w:tcPr>
            <w:tcW w:w="41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在机电产品国际招标投标活动中，对招标人和中标人不按招标文件和投标文件订立合同，合同主要条款与招标文件、中标人的投标文件的内容不一致，或者订立背离合同实质性内容的协议的行为的行政处罚</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商事服务局</w:t>
            </w:r>
          </w:p>
        </w:tc>
        <w:tc>
          <w:tcPr>
            <w:tcW w:w="1242"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jc w:val="center"/>
        </w:trPr>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26</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1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省商务厅</w:t>
            </w:r>
          </w:p>
        </w:tc>
        <w:tc>
          <w:tcPr>
            <w:tcW w:w="41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机电产品国际招标投标活动中，对中标人将中标项目转让给他人的，将中标项目肢解后分别转让给他人的，违反招标投标法规定将中标项目的部分主体、关键性工作分包给他人的，或者分包人再次分包的行为的行政处罚</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商事服务局</w:t>
            </w:r>
          </w:p>
        </w:tc>
        <w:tc>
          <w:tcPr>
            <w:tcW w:w="1242"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27</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1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省商务厅</w:t>
            </w:r>
          </w:p>
        </w:tc>
        <w:tc>
          <w:tcPr>
            <w:tcW w:w="41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在机电产品国际招标投标活动中，对招标人对依法必招项目不招标或规避国际招标的行为的行政处罚</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商事服务局</w:t>
            </w:r>
          </w:p>
        </w:tc>
        <w:tc>
          <w:tcPr>
            <w:tcW w:w="1242"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5" w:hRule="atLeast"/>
          <w:jc w:val="center"/>
        </w:trPr>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28</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1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省商务厅</w:t>
            </w:r>
          </w:p>
        </w:tc>
        <w:tc>
          <w:tcPr>
            <w:tcW w:w="41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机电产品国际招标投标活动中，对招标人与投标人相互串通、虚假招标投标的；以不正当手段干扰招标投标活动的；不履行与中标人订立的合同的；除《机电产品国际招标投标实施办法（试行）》第九十四条第十二项所列行为外，其他泄漏应当保密的与招标投标活动有关的情况、材料或信息的；对主管部门的投诉处理决定拒不执行的；其他违反招标投标法、招标投标法实施条例和《机电产品国际招标投标实施办法（试行）》的行为的行政处罚</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商事服务局</w:t>
            </w:r>
          </w:p>
        </w:tc>
        <w:tc>
          <w:tcPr>
            <w:tcW w:w="1242"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5" w:hRule="atLeast"/>
          <w:jc w:val="center"/>
        </w:trPr>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29</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1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省商务厅</w:t>
            </w:r>
          </w:p>
        </w:tc>
        <w:tc>
          <w:tcPr>
            <w:tcW w:w="41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机电产品国际招标投标活动中，对投标人虚假招标投标的；干扰招标、评标工作的；投标文件及澄清资料与事实不符，弄虚作假的；在投诉处理过程中，提供虚假证明材料的；中标通知书发出之前与招标人签订合同的；中标的投标人不按照其投标文件和招标文件与招标人签订合同的或提供的产品不符合投标文件的；其他违反招标投标法、招标投标法实施条例和《机电产品国际招标投标实施办法（试行）》的行为的行政处罚</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商事服务局</w:t>
            </w:r>
          </w:p>
        </w:tc>
        <w:tc>
          <w:tcPr>
            <w:tcW w:w="1242"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1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省商务厅</w:t>
            </w:r>
          </w:p>
        </w:tc>
        <w:tc>
          <w:tcPr>
            <w:tcW w:w="41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机电产品国际招标投标活动中，对虚假招标投标、机构登记造假；无故废弃随机抽取的评审专家的；不按照规定及时向主管部门报送材料或者向主管部门提供虚假材料的；未在规定的时间内将招标投标情况及其相关数据上传招标网，网上信息与相应书面内容存在实质性不符的；不按规定对异议作出答复的，或者在投诉处理的过程中未按照主管部门要求予以配合的；因招标机构的过失，投诉处理结果为招标无效或中标无效，6个月内累计2次，或一年内累计3次的；不按规定发出中标通知书或者擅自变更中标结果的；其他违反招标投标法、招标投标法实施条例和《机电产品国际招标投标实施办法（试行）》的行为的行政处罚</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商事服务局</w:t>
            </w:r>
          </w:p>
        </w:tc>
        <w:tc>
          <w:tcPr>
            <w:tcW w:w="1242"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31</w:t>
            </w:r>
          </w:p>
        </w:tc>
        <w:tc>
          <w:tcPr>
            <w:tcW w:w="7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行政处罚</w:t>
            </w:r>
          </w:p>
        </w:tc>
        <w:tc>
          <w:tcPr>
            <w:tcW w:w="121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省商务厅</w:t>
            </w:r>
          </w:p>
        </w:tc>
        <w:tc>
          <w:tcPr>
            <w:tcW w:w="41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机电产品国际招标投标活动中，对招标人依法应当公开招标而采用邀请招标的；招标文件、资格预审文件的发售、澄清、修改的时限，或者确定的提交资格预审申请文件、投标文件的时限不符合招标投标法和招标投标法实施条例规定的；接受未通过资格预审的单位或者个人参加投标；接受应当拒收的投标文件的行为的行政处罚</w:t>
            </w:r>
          </w:p>
        </w:tc>
        <w:tc>
          <w:tcPr>
            <w:tcW w:w="13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商事服务局</w:t>
            </w:r>
          </w:p>
        </w:tc>
        <w:tc>
          <w:tcPr>
            <w:tcW w:w="1242" w:type="dxa"/>
            <w:noWrap w:val="0"/>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kern w:val="0"/>
                <w:sz w:val="22"/>
                <w:szCs w:val="22"/>
                <w:u w:val="none"/>
                <w:lang w:val="en-US" w:eastAsia="zh-CN" w:bidi="ar"/>
              </w:rPr>
            </w:pPr>
          </w:p>
        </w:tc>
      </w:tr>
    </w:tbl>
    <w:p/>
    <w:sectPr>
      <w:footerReference r:id="rId3" w:type="default"/>
      <w:pgSz w:w="11906" w:h="16838"/>
      <w:pgMar w:top="1417" w:right="1531" w:bottom="1417" w:left="1531"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186F54-C067-4F18-A8D4-1474B86501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CAB397F-C9A7-41DD-BE8E-71E43C603F20}"/>
  </w:font>
  <w:font w:name="方正小标宋简体">
    <w:panose1 w:val="02000000000000000000"/>
    <w:charset w:val="86"/>
    <w:family w:val="script"/>
    <w:pitch w:val="default"/>
    <w:sig w:usb0="00000001" w:usb1="080E0000" w:usb2="00000000" w:usb3="00000000" w:csb0="00040000" w:csb1="00000000"/>
    <w:embedRegular r:id="rId3" w:fontKey="{5C3A1631-E6D3-4BE5-A0F4-E424DE17FAC3}"/>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4NmE0Yjk1YzNlNjE3YzcyODc0MWM4OGQ3OTE5MTMifQ=="/>
  </w:docVars>
  <w:rsids>
    <w:rsidRoot w:val="04E56384"/>
    <w:rsid w:val="04E56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Normal Indent"/>
    <w:basedOn w:val="1"/>
    <w:qFormat/>
    <w:uiPriority w:val="0"/>
    <w:pPr>
      <w:spacing w:line="240" w:lineRule="auto"/>
      <w:ind w:firstLine="420" w:firstLineChars="200"/>
    </w:pPr>
    <w:rPr>
      <w:rFonts w:ascii="Times New Roman" w:hAnsi="Times New Roman" w:eastAsia="宋体" w:cs="Times New Roman"/>
      <w:sz w:val="21"/>
      <w:szCs w:val="20"/>
    </w:r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2023-04-28T08:55:00Z</dcterms:created>
  <dc:creator>陈晓凤</dc:creator>
  <cp:lastModifiedBy>陈晓凤</cp:lastModifiedBy>
  <dcterms:modified xsi:type="dcterms:W3CDTF">2023-04-28T08:55:34Z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6E1BB28620694E47967E8A9522581FA4_11</vt:lpwstr>
  </property>
</Properties>
</file>