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附件3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广州市拍卖行业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收回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（注销）拍卖经营许可企业名单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34家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bookmarkEnd w:id="0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09"/>
        <w:gridCol w:w="2036"/>
        <w:gridCol w:w="3294"/>
        <w:gridCol w:w="3643"/>
        <w:gridCol w:w="2162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4400041100001996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广东广英达拍卖有限公司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吊销，未注销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2022-7-5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4400661100001993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广州经济技术开发区拍卖行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2022-7-14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4403871100002004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广东坤源拍卖有限公司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2022-8-15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4403331100002005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广东汇兴拍卖有限公司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2021-7-19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4405271100002009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广州中联拍卖有限公司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吊销，未注销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2017-2-17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4408331100002020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广东车众网拍卖有限公司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已在市场监督管理部门办理注销登记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注销企业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2022-6-28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4400461100002004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广东金坤拍卖有限公司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4400481100002004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广东广弘拍卖行有限公司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4400792100001998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广东盘龙乾元拍卖有限公司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72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4400911100002002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广州市泽隆拍卖行有限公司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4400881100001996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广州运昌拍卖行有限公司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4404601100002002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广东中槌拍卖有限公司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4405401100002010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广州金瑞拍卖有限公司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4406151100002016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广州三和文化艺术品有限公司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4406231100002017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广东康循机动车拍卖有限公司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4406461100002018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广州天下通宝拍卖有限公司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4406551100002018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广州行知网络科技有限公司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4406571100002018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广东桐凤徕拍卖有限公司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19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4406591100002018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广东德盛轩拍卖有限公司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4406901100002019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轩宇(广州)艺术传媒有限公司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4407081100002019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广州梵贝拍卖有限公司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4407101100002019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广和（广州）文化发展有限公司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4407271100002019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广州博华文化传媒有限公司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4407461100002019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广州中唐拍卖有限公司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4407501100002019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数字时代区块链科技（广州）有限公司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4407521100002019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广东岭海文化发展有限公司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4407641100002019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国拍拍卖（广东）有限公司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4407651100002019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广东巨鼎拍卖有限公司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48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29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4407671100002019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广东越海拍卖有限公司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4407881100002020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雅趣文化艺术有限公司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4408111100002020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广州中恒拍卖有限公司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4408251100002020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广州快享网络科技有限公司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36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城市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拍卖经营批准证书编码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收回（注销）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经营许可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原因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 w:bidi="ar"/>
              </w:rPr>
              <w:t>营业执照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登记状态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吊销/注销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迁出时间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4400291100002000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广东富德拍卖有限公司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60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34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4408851100002021</w:t>
            </w:r>
          </w:p>
        </w:tc>
        <w:tc>
          <w:tcPr>
            <w:tcW w:w="3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广州市大铭牌贸易有限公司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连续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 w:bidi="ar"/>
              </w:rPr>
              <w:t>24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个月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以上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bidi="ar"/>
              </w:rPr>
              <w:t>无正当理由未举办拍卖会</w:t>
            </w: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eastAsia="zh-CN" w:bidi="ar"/>
              </w:rPr>
              <w:t>且整改不合格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在营（开业）企业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　</w:t>
            </w:r>
          </w:p>
        </w:tc>
      </w:tr>
    </w:tbl>
    <w:p>
      <w:pPr>
        <w:pStyle w:val="3"/>
      </w:pPr>
    </w:p>
    <w:p/>
    <w:p/>
    <w:sectPr>
      <w:pgSz w:w="16838" w:h="11906" w:orient="landscape"/>
      <w:pgMar w:top="1531" w:right="1417" w:bottom="1531" w:left="1304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25F5B0-45E7-491B-A380-8291E96A0C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364E64-E332-4478-A9AF-9AF6AB383F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67622D7-9AB7-4D90-A885-10C1E0CC30A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E56920A-C5BC-4911-909D-7405766715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77101021"/>
    <w:rsid w:val="7710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2023-08-22T02:32:00Z</dcterms:created>
  <dc:creator>陈晓凤</dc:creator>
  <cp:lastModifiedBy>陈晓凤</cp:lastModifiedBy>
  <dcterms:modified xsi:type="dcterms:W3CDTF">2023-08-22T02:33:23Z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90EBB6AABB1B41D1A2BDD5168468175C_11</vt:lpwstr>
  </property>
</Properties>
</file>