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  <w:t>2023年</w:t>
      </w: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广东省服务贸易优秀案例名单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60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（排名不分先后）</w:t>
      </w:r>
    </w:p>
    <w:tbl>
      <w:tblPr>
        <w:tblStyle w:val="4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380"/>
        <w:gridCol w:w="398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80183927"/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打造全球基因载体数字贸易新模式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云舟生物科技（广州）股份有限公司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出海广告营销赋能平台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广州钛动科技股份有限公司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数字化金融服务外包发展模式转型和探索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汇丰环球客户服务（广东）有限公司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超高清智能运营服务化转型项目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茂佳科技（广东）有限公司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助力中国智造全球出海，实现一站式供应链管理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深圳市华富洋供应链有限公司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Hlk140652928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金庸武侠融合阅读项目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广州市朗声图书有限公司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拓展多样化的集团合作，打造中医药服务出口示范基地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广东省中医院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省直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酷狗文化助推中国原创音乐走向世界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广州酷狗计算机科技有限公司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汇丰区块链支付项目（HSBC DLT Settlement Utility）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汇丰软件开发（广东）有限公司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创办港澳子弟学校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广州暨大港澳子弟学校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打造“以医带药”拓展葡语系国家中医药服务贸易新模式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粤澳中医药科技产业园开发有限公司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珠海横琴粤澳深度合作区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bookmarkStart w:id="2" w:name="_GoBack"/>
      <w:bookmarkEnd w:id="2"/>
    </w:p>
    <w:p/>
    <w:sectPr>
      <w:pgSz w:w="11906" w:h="16838"/>
      <w:pgMar w:top="1190" w:right="1531" w:bottom="119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2E1NWQ2Njc4OWQzOGQ4ZGYxMTQ0OWM1ZTc3ZjcifQ=="/>
  </w:docVars>
  <w:rsids>
    <w:rsidRoot w:val="6A314205"/>
    <w:rsid w:val="0DC84666"/>
    <w:rsid w:val="500F01CA"/>
    <w:rsid w:val="6A314205"/>
    <w:rsid w:val="70D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374</Characters>
  <Lines>0</Lines>
  <Paragraphs>0</Paragraphs>
  <TotalTime>1</TotalTime>
  <ScaleCrop>false</ScaleCrop>
  <LinksUpToDate>false</LinksUpToDate>
  <CharactersWithSpaces>377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2023-08-29T02:15:00Z</dcterms:created>
  <dc:creator>陈晓凤</dc:creator>
  <cp:lastModifiedBy>东边日出西边雨（锦庚）</cp:lastModifiedBy>
  <dcterms:modified xsi:type="dcterms:W3CDTF">2023-08-30T13:00:28Z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FAD107C9E3594FE982720F51AE086333_11</vt:lpwstr>
  </property>
</Properties>
</file>