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00" w:lineRule="exact"/>
        <w:ind w:left="0" w:leftChars="0" w:right="0" w:right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  <w:t>2024年广东省促进经济高质量发展专项资金（促进外贸发展方向-重点展会和展会配套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  <w:t>体系事项）分配方案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8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3390"/>
        <w:gridCol w:w="3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9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12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1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计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600</w:t>
            </w:r>
          </w:p>
        </w:tc>
      </w:tr>
    </w:tbl>
    <w:p/>
    <w:sectPr>
      <w:pgSz w:w="11906" w:h="16838"/>
      <w:pgMar w:top="1191" w:right="1531" w:bottom="119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F45182-0A71-4C0C-9361-3E6A5F5896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8452CC-80FD-4FD6-A942-606F2B95B78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09A3CE9-2815-4D99-BB9D-2C61113702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7F663A1B"/>
    <w:rsid w:val="7F66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2024-01-18T07:57:00Z</dcterms:created>
  <dc:creator>陈晓凤</dc:creator>
  <cp:lastModifiedBy>陈晓凤</cp:lastModifiedBy>
  <dcterms:modified xsi:type="dcterms:W3CDTF">2024-01-18T07:59:26Z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3A2BD90945364DE0BF27AF794EF71CFD_11</vt:lpwstr>
  </property>
</Properties>
</file>