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广东省</w:t>
      </w:r>
      <w:r>
        <w:rPr>
          <w:rFonts w:hint="eastAsia" w:ascii="方正小标宋_GBK" w:eastAsia="方正小标宋_GBK"/>
          <w:sz w:val="32"/>
          <w:szCs w:val="32"/>
        </w:rPr>
        <w:t>附条件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通过的</w:t>
      </w:r>
      <w:r>
        <w:rPr>
          <w:rFonts w:hint="eastAsia" w:ascii="方正小标宋_GBK" w:eastAsia="方正小标宋_GBK"/>
          <w:sz w:val="32"/>
          <w:szCs w:val="32"/>
        </w:rPr>
        <w:t>“中</w:t>
      </w: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华老字号”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整改审核意见</w:t>
      </w:r>
      <w:r>
        <w:rPr>
          <w:rFonts w:hint="eastAsia" w:ascii="方正小标宋_GBK" w:eastAsia="方正小标宋_GBK"/>
          <w:sz w:val="32"/>
          <w:szCs w:val="32"/>
        </w:rPr>
        <w:t>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</w:p>
    <w:tbl>
      <w:tblPr>
        <w:tblStyle w:val="3"/>
        <w:tblW w:w="81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5220"/>
        <w:gridCol w:w="19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建议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广州白云山敬修堂药业股份有限公司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广州广钢金业集团有限公司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广州市泮溪酒家有限公司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广州市利工民针织有限公司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广州市宝生园股份有限公司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广州市北园酒家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广州市生茂泰茶厂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广州市莲香楼有限公司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广州市泮塘食品有限公司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 w:bidi="ar"/>
              </w:rPr>
              <w:t>广东大印象制药有限公司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佛山市南海毛巾有限公司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广州市文化用品有限公司新以泰体育用品分公司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不通过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741E9-36AE-4F6E-9225-FC0F899CEE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E16AEF-0C5F-4438-A4A9-3F6E5647541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4180F9E-4F5D-4EC5-96CF-DB3E8AF6C2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7AF245A6"/>
    <w:rsid w:val="7AF2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2024-04-15T08:41:00Z</dcterms:created>
  <dc:creator>陈晓凤</dc:creator>
  <cp:lastModifiedBy>陈晓凤</cp:lastModifiedBy>
  <dcterms:modified xsi:type="dcterms:W3CDTF">2024-04-15T08:46:49Z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2A1B0D076246419C894F46B139425B8E_11</vt:lpwstr>
  </property>
</Properties>
</file>