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ECF0E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3C3FA61F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42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</w:p>
    <w:p w14:paraId="7851B1C8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42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合作区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主要类型及确认考核的具体要求</w:t>
      </w:r>
    </w:p>
    <w:p w14:paraId="0DD62B8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 w14:paraId="2AB77C41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一、重点支持的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合作区</w:t>
      </w:r>
      <w:r>
        <w:rPr>
          <w:rFonts w:hint="eastAsia" w:ascii="黑体" w:hAnsi="黑体" w:eastAsia="黑体" w:cs="黑体"/>
          <w:sz w:val="32"/>
          <w:szCs w:val="32"/>
        </w:rPr>
        <w:t>类型</w:t>
      </w:r>
    </w:p>
    <w:p w14:paraId="419901F1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（一）以轻工、纺织、机械、电子、化工、建材等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我省优势产业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为主导产业的加工制造型园区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35981A7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（二）以矿产、油气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森林等资源开发、加工和综合利用等为主导的资源利用型园区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8B080DA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（三）以谷物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经济作物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畜牧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海洋渔业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等开发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加工、收购、仓储等为主导的农业产业型园区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1C4ADFE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四）以商品展示、运输、仓储、集散、配送、信息处理、流通加工等为主导的商贸物流型园区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1995D1F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新一代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汽车制造、高端装备制造、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生物医药、人工智能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及机器人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节能环保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等领域的高新技术及产品的研发、设计、实验、试制为主导的科技研发型园区。</w:t>
      </w:r>
    </w:p>
    <w:p w14:paraId="5E9927B2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在“一带一路”沿线国家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投资建设的符合国家对外投资产业导向、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、投资规模较大的国际产能合作项目所形成的专业型产业园区。</w:t>
      </w:r>
    </w:p>
    <w:p w14:paraId="7DD80BB0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列入国家主场外交活动签约的园区项目。</w:t>
      </w:r>
    </w:p>
    <w:p w14:paraId="29341B3D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鼓励企业自主决策，根据自身优势和所在国实际情况，进行其他类型合作区建设的探索和尝试。其确认考核的具体要求将另行制定。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    </w:t>
      </w:r>
    </w:p>
    <w:p w14:paraId="2CC330FD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合作区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确认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考核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的具体要求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（一）加工制造型园区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1.已取得完备法律手续的土地面积不低于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0.5平方公里，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且满足合作区扩展的用地面积不低于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1平方公里，并已经取得扩展用地的相关协议或书面承诺；</w:t>
      </w:r>
    </w:p>
    <w:p w14:paraId="56A986EB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累计投资（建区企业和入园企业的投资总额，下同）不低于3000万美元，其中建区企业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已完成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水、电、路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、厂房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等基础设施建设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在内的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美元以上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 w14:paraId="5A5DA6ED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3.已有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家以上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具备中资成分的加工制造型入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且境内投资主体不同（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至少1家粤资企业），并已开工建设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3E61D66F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（二）资源利用型园区</w:t>
      </w:r>
    </w:p>
    <w:p w14:paraId="2FBD69C0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1.已取得完备法律手续的土地面积不低于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4平方公里（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含资源区域面积）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 w14:paraId="427A9BB9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累计投资不低于3000万美元，其中建区企业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已完成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水、电、路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、厂房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等基础设施建设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在内的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000万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美元以上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 w14:paraId="6AA7319E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已有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家以上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具备中资成分的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资源加工利用型入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且境内投资主体不同（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至少1家粤资企业）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并已开工建设。若入园企业不足3家，则企业须均为粤资，且合计投资总额不低于1000万美元，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园区年产值不低于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5000万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美元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7569DEE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（三）农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业产业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型园区</w:t>
      </w:r>
    </w:p>
    <w:p w14:paraId="4CB4F9EB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1.园区建设可采用“一区多园”的方式，已取得完备法律手续的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土地面积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不低于4平方公里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农作物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种植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海洋渔业养殖等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区域面积）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 w14:paraId="6531059D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2.累计投资不低于2000万美元，其中建区企业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已完成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水、电、路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、厂房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等基础设施建设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在内的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投资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美元以上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 w14:paraId="71F6A58F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.已有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家以上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具备中资成分的农产品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生产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入园企业且境内投资主体不同（其中至少1家粤资企业），并已开工建设。若入园企业不足3家，则企业须均为粤资，且合计投资总额不低于1000万美元，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园区年产值不低于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5000万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美元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63ACB2CB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right="0" w:rightChars="0" w:firstLine="42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（四）商贸物流型园区</w:t>
      </w:r>
    </w:p>
    <w:p w14:paraId="652642D8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1.园区建设可采用“一区多园”的方式，供商品展览展示、洽谈、交易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仓储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区域的建筑面积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 w14:paraId="328CF8F1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建区企业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已完成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商品展览、交易、物流区域的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建或租赁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、电、路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、仓储、信息网络等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基础设施建设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在内的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0万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美元以上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6BE561BD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园区内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实际经营的贸易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物流</w:t>
      </w:r>
      <w:r>
        <w:rPr>
          <w:rFonts w:hint="eastAsia" w:ascii="仿宋_GB2312" w:hAnsi="仿宋_GB2312" w:eastAsia="仿宋_GB2312" w:cs="仿宋_GB2312"/>
          <w:sz w:val="32"/>
          <w:szCs w:val="32"/>
        </w:rPr>
        <w:t>型企业不少于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其中至少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20家粤资企业，带动广东年度进出口额不低于2亿美元。 </w:t>
      </w:r>
    </w:p>
    <w:p w14:paraId="2ECE7E28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（五）科技研发型园区</w:t>
      </w:r>
    </w:p>
    <w:p w14:paraId="4506DD4B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1.已取得完备法律手续，用于研发、设计、实验、试制、项目孵化路演等功能的建筑面积不低于2000平方米；</w:t>
      </w:r>
    </w:p>
    <w:p w14:paraId="1613F277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累计投资不低于1000万美元，其中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入园企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业已完成研发设备、材料、信息系统等软硬件设施、人力资源等投资总额超过500万美元；</w:t>
      </w:r>
    </w:p>
    <w:p w14:paraId="132C5E7E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3.已有3家以上具备中资成分的科技研发型入园企业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且境内投资主体不同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（其中至少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1家粤资企业）。若入园企业不足3家，则企业须均为粤资；</w:t>
      </w:r>
    </w:p>
    <w:p w14:paraId="28509BE8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4.研发人员超过50人，已获得授权的专利技术不低于20项。</w:t>
      </w:r>
    </w:p>
    <w:p w14:paraId="607969D9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（六）专业型产业园区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  </w:t>
      </w:r>
    </w:p>
    <w:p w14:paraId="49E7E320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1.已取得完备法律手续的土地面积不低于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10万平方米；</w:t>
      </w:r>
    </w:p>
    <w:p w14:paraId="5AD1B4AD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2.已完成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区水、电、路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、厂房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等基础设施建设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和生产设备设施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5000万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美元以上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 w14:paraId="04ABBA2E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已有3家以上具备中资成分的入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企业（其中至少1家粤资企业），并已开工建设。若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入园企业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不足3家，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则企业须均为粤资；</w:t>
      </w:r>
    </w:p>
    <w:p w14:paraId="5E0F19D7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园区年产值不低于2亿美元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带动广东年度进出口额不低于1亿美元。</w:t>
      </w:r>
    </w:p>
    <w:p w14:paraId="63FA8799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</w:p>
    <w:p w14:paraId="08004894">
      <w:pPr>
        <w:pStyle w:val="4"/>
        <w:autoSpaceDE w:val="0"/>
        <w:autoSpaceDN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</w:p>
    <w:p w14:paraId="6C394FD9">
      <w:pPr>
        <w:pStyle w:val="4"/>
        <w:autoSpaceDE w:val="0"/>
        <w:autoSpaceDN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</w:p>
    <w:p w14:paraId="39AB2C95">
      <w:pPr>
        <w:pStyle w:val="4"/>
        <w:autoSpaceDE w:val="0"/>
        <w:autoSpaceDN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</w:p>
    <w:p w14:paraId="58EA6916">
      <w:pPr>
        <w:pStyle w:val="4"/>
        <w:autoSpaceDE w:val="0"/>
        <w:autoSpaceDN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</w:p>
    <w:p w14:paraId="4709DF5A"/>
    <w:sectPr>
      <w:footerReference r:id="rId3" w:type="default"/>
      <w:pgSz w:w="11906" w:h="16838"/>
      <w:pgMar w:top="1440" w:right="1502" w:bottom="1440" w:left="15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30C52D-98DF-4FD7-BC49-5658D51A0F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49DA6E5-6DD1-4E26-99DD-E33CC81821B1}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0C538B6-E444-4977-A383-BD028E876F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412B4E5-8B8D-455F-A16A-9F7AE1006BA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ED10511-826A-46F5-B8AC-62029D1C61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A2F5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F4A7C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F4A7C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6B7614C2"/>
    <w:rsid w:val="6B76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2024-10-15T02:50:00Z</dcterms:created>
  <dc:creator>陈晓凤</dc:creator>
  <cp:lastModifiedBy>陈晓凤</cp:lastModifiedBy>
  <dcterms:modified xsi:type="dcterms:W3CDTF">2024-10-15T02:54:57Z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827A6B93CA7448B79178A84223AF493E_11</vt:lpwstr>
  </property>
</Properties>
</file>