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B78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广东省地方标准《</w:t>
      </w:r>
      <w:bookmarkStart w:id="0" w:name="_Toc32317"/>
      <w:r>
        <w:rPr>
          <w:rFonts w:hint="eastAsia" w:ascii="方正小标宋简体" w:hAnsi="方正小标宋简体" w:eastAsia="方正小标宋简体" w:cs="方正小标宋简体"/>
          <w:b w:val="0"/>
          <w:bCs/>
          <w:sz w:val="44"/>
          <w:szCs w:val="44"/>
        </w:rPr>
        <w:t>线上</w:t>
      </w:r>
      <w:bookmarkStart w:id="13" w:name="_GoBack"/>
      <w:bookmarkEnd w:id="13"/>
      <w:r>
        <w:rPr>
          <w:rFonts w:hint="eastAsia" w:ascii="方正小标宋简体" w:hAnsi="方正小标宋简体" w:eastAsia="方正小标宋简体" w:cs="方正小标宋简体"/>
          <w:b w:val="0"/>
          <w:bCs/>
          <w:sz w:val="44"/>
          <w:szCs w:val="44"/>
        </w:rPr>
        <w:t>数字展览（会）</w:t>
      </w:r>
    </w:p>
    <w:p w14:paraId="2C56C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服务规范</w:t>
      </w:r>
      <w:bookmarkEnd w:id="0"/>
      <w:r>
        <w:rPr>
          <w:rFonts w:hint="eastAsia" w:ascii="方正小标宋简体" w:hAnsi="方正小标宋简体" w:eastAsia="方正小标宋简体" w:cs="方正小标宋简体"/>
          <w:b w:val="0"/>
          <w:bCs/>
          <w:sz w:val="44"/>
          <w:szCs w:val="44"/>
        </w:rPr>
        <w:t>》编制说明</w:t>
      </w:r>
    </w:p>
    <w:p w14:paraId="6FDA4B15">
      <w:pPr>
        <w:jc w:val="center"/>
        <w:rPr>
          <w:rFonts w:asciiTheme="minorEastAsia" w:hAnsiTheme="minorEastAsia"/>
          <w:b/>
          <w:sz w:val="32"/>
          <w:szCs w:val="32"/>
        </w:rPr>
      </w:pPr>
    </w:p>
    <w:p w14:paraId="3884E678">
      <w:pPr>
        <w:pStyle w:val="2"/>
        <w:pageBreakBefore w:val="0"/>
        <w:kinsoku/>
        <w:overflowPunct/>
        <w:topLinePunct w:val="0"/>
        <w:bidi w:val="0"/>
        <w:snapToGrid/>
        <w:spacing w:before="0" w:after="0" w:line="560" w:lineRule="exact"/>
        <w:ind w:firstLine="640" w:firstLineChars="200"/>
        <w:textAlignment w:val="auto"/>
        <w:rPr>
          <w:rFonts w:ascii="黑体" w:hAnsi="黑体" w:eastAsia="黑体"/>
          <w:b w:val="0"/>
          <w:sz w:val="32"/>
          <w:szCs w:val="32"/>
        </w:rPr>
      </w:pPr>
      <w:r>
        <w:rPr>
          <w:rFonts w:hint="eastAsia" w:ascii="黑体" w:hAnsi="黑体" w:eastAsia="黑体"/>
          <w:b w:val="0"/>
          <w:sz w:val="32"/>
          <w:szCs w:val="32"/>
        </w:rPr>
        <w:t>一、任务来源</w:t>
      </w:r>
    </w:p>
    <w:p w14:paraId="61EC949F">
      <w:pPr>
        <w:pStyle w:val="10"/>
        <w:pageBreakBefore w:val="0"/>
        <w:widowControl/>
        <w:kinsoku/>
        <w:overflowPunct/>
        <w:topLinePunct w:val="0"/>
        <w:bidi w:val="0"/>
        <w:snapToGrid/>
        <w:spacing w:beforeAutospacing="0" w:afterAutospacing="0"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2020年</w:t>
      </w:r>
      <w:r>
        <w:rPr>
          <w:rFonts w:hint="eastAsia" w:eastAsia="仿宋_GB2312"/>
          <w:sz w:val="32"/>
          <w:szCs w:val="32"/>
        </w:rPr>
        <w:t>3月，“创新展会服务模式”上升至中共中央政治局常务委员会会议重要内容。</w:t>
      </w:r>
      <w:r>
        <w:rPr>
          <w:rFonts w:hint="eastAsia" w:eastAsia="仿宋_GB2312"/>
          <w:sz w:val="32"/>
          <w:szCs w:val="32"/>
          <w:lang w:val="en-US" w:eastAsia="zh-CN"/>
        </w:rPr>
        <w:t>2020年</w:t>
      </w:r>
      <w:r>
        <w:rPr>
          <w:rFonts w:hint="eastAsia" w:eastAsia="仿宋_GB2312"/>
          <w:sz w:val="32"/>
          <w:szCs w:val="32"/>
        </w:rPr>
        <w:t>4月，商务部印发《关于创新展会服务模式 培育展览业发展新动能有关工作的通知》，要求“积极打造线上展会新平台，促进线上线下办展融合发展”。</w:t>
      </w:r>
      <w:r>
        <w:rPr>
          <w:rFonts w:hint="eastAsia" w:eastAsia="仿宋_GB2312"/>
          <w:sz w:val="32"/>
          <w:szCs w:val="32"/>
          <w:lang w:val="en-US" w:eastAsia="zh-CN"/>
        </w:rPr>
        <w:t>2020年5月，广东省商务厅发文提出创新展会服务模式，培育展览业发展新动能等工作要求，推动线上展览的发展；定期选定部分大型组展单位作为合作伙伴，将其举办的线上展览纳入“粤贸全球”广东线上展览平台，为广东外贸企业利用网上展会开拓国际市场开辟了新路径。2021年12月，广东省商务厅发布《关于印发广东省推动会展业高质量发展若干措施的通知》（粤商务厅字〔2021〕26号），提出鼓励会展模式创新，大力发展线上展览。</w:t>
      </w:r>
    </w:p>
    <w:p w14:paraId="4DA4CFE2">
      <w:pPr>
        <w:pStyle w:val="10"/>
        <w:pageBreakBefore w:val="0"/>
        <w:widowControl/>
        <w:kinsoku/>
        <w:overflowPunct/>
        <w:topLinePunct w:val="0"/>
        <w:bidi w:val="0"/>
        <w:snapToGrid/>
        <w:spacing w:beforeAutospacing="0" w:afterAutospacing="0" w:line="560" w:lineRule="exact"/>
        <w:ind w:firstLine="640" w:firstLineChars="200"/>
        <w:jc w:val="both"/>
        <w:textAlignment w:val="auto"/>
        <w:rPr>
          <w:rFonts w:eastAsia="仿宋_GB2312"/>
          <w:sz w:val="32"/>
          <w:szCs w:val="32"/>
        </w:rPr>
      </w:pPr>
      <w:r>
        <w:rPr>
          <w:rFonts w:hint="eastAsia" w:eastAsia="仿宋_GB2312"/>
          <w:sz w:val="32"/>
          <w:szCs w:val="32"/>
        </w:rPr>
        <w:t>广东省地方标准《线上数字展览（会）服务规范》是根据</w:t>
      </w:r>
      <w:r>
        <w:rPr>
          <w:rFonts w:hint="eastAsia" w:eastAsia="仿宋_GB2312"/>
          <w:sz w:val="32"/>
          <w:szCs w:val="32"/>
          <w:lang w:val="en-US" w:eastAsia="zh-CN"/>
        </w:rPr>
        <w:t>《广东省市场监督管理局关于批准下达2023年第二批广东省地方标准制修订计划的通知》（粤市监标准〔2023〕591号）</w:t>
      </w:r>
      <w:r>
        <w:rPr>
          <w:rFonts w:hint="eastAsia" w:eastAsia="仿宋_GB2312"/>
          <w:sz w:val="32"/>
          <w:szCs w:val="32"/>
        </w:rPr>
        <w:t>要求而编制的。本标准由广东省商务厅提出，由</w:t>
      </w:r>
      <w:r>
        <w:rPr>
          <w:rFonts w:hint="eastAsia" w:eastAsia="仿宋_GB2312"/>
          <w:sz w:val="32"/>
          <w:szCs w:val="32"/>
          <w:lang w:val="en-US" w:eastAsia="zh-CN"/>
        </w:rPr>
        <w:t>广东省会展业标准化技术委员会</w:t>
      </w:r>
      <w:r>
        <w:rPr>
          <w:rFonts w:hint="eastAsia" w:eastAsia="仿宋_GB2312"/>
          <w:sz w:val="32"/>
          <w:szCs w:val="32"/>
        </w:rPr>
        <w:t>归口。项目承担单位为米奥兰特（广东）商务科技有限公司</w:t>
      </w:r>
      <w:r>
        <w:rPr>
          <w:rFonts w:hint="eastAsia" w:eastAsia="仿宋_GB2312"/>
          <w:kern w:val="2"/>
          <w:sz w:val="32"/>
          <w:szCs w:val="32"/>
        </w:rPr>
        <w:t>、广东会展组展企业协会</w:t>
      </w:r>
      <w:r>
        <w:rPr>
          <w:rFonts w:hint="eastAsia" w:eastAsia="仿宋_GB2312"/>
          <w:kern w:val="2"/>
          <w:sz w:val="32"/>
          <w:szCs w:val="32"/>
          <w:lang w:eastAsia="zh-CN"/>
        </w:rPr>
        <w:t>、广东九州国际会展传媒科技有限公司</w:t>
      </w:r>
      <w:r>
        <w:rPr>
          <w:rFonts w:hint="eastAsia" w:eastAsia="仿宋_GB2312"/>
          <w:kern w:val="2"/>
          <w:sz w:val="32"/>
          <w:szCs w:val="32"/>
        </w:rPr>
        <w:t>。</w:t>
      </w:r>
    </w:p>
    <w:p w14:paraId="5E6050B4">
      <w:pPr>
        <w:pStyle w:val="2"/>
        <w:pageBreakBefore w:val="0"/>
        <w:kinsoku/>
        <w:overflowPunct/>
        <w:topLinePunct w:val="0"/>
        <w:bidi w:val="0"/>
        <w:snapToGrid/>
        <w:spacing w:before="0" w:after="0" w:line="560" w:lineRule="exact"/>
        <w:ind w:firstLine="640" w:firstLineChars="200"/>
        <w:textAlignment w:val="auto"/>
        <w:rPr>
          <w:rFonts w:hint="eastAsia" w:ascii="黑体" w:hAnsi="黑体" w:eastAsia="黑体"/>
          <w:b w:val="0"/>
          <w:sz w:val="32"/>
          <w:szCs w:val="32"/>
        </w:rPr>
      </w:pPr>
      <w:r>
        <w:rPr>
          <w:rFonts w:hint="eastAsia" w:ascii="黑体" w:hAnsi="黑体" w:eastAsia="黑体"/>
          <w:b w:val="0"/>
          <w:sz w:val="32"/>
          <w:szCs w:val="32"/>
        </w:rPr>
        <w:t>二、编制背景、目的和意义</w:t>
      </w:r>
    </w:p>
    <w:p w14:paraId="0BB1D300">
      <w:pPr>
        <w:pStyle w:val="3"/>
        <w:pageBreakBefore w:val="0"/>
        <w:kinsoku/>
        <w:overflowPunct/>
        <w:topLinePunct w:val="0"/>
        <w:bidi w:val="0"/>
        <w:snapToGrid/>
        <w:spacing w:before="120" w:after="0" w:line="560" w:lineRule="exact"/>
        <w:ind w:firstLine="643" w:firstLineChars="200"/>
        <w:textAlignment w:val="auto"/>
        <w:rPr>
          <w:sz w:val="32"/>
          <w:szCs w:val="32"/>
        </w:rPr>
      </w:pPr>
      <w:bookmarkStart w:id="1" w:name="_Hlk511634109"/>
      <w:r>
        <w:rPr>
          <w:rFonts w:hint="eastAsia"/>
          <w:sz w:val="32"/>
          <w:szCs w:val="32"/>
        </w:rPr>
        <w:t>（一）编制背景</w:t>
      </w:r>
    </w:p>
    <w:bookmarkEnd w:id="1"/>
    <w:p w14:paraId="709ABED9">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疫情期间，展览的发展主要受到新冠疫情的全球大流行影响，导致线下展览和会议频繁中断或取消。这种背景下，</w:t>
      </w:r>
      <w:r>
        <w:rPr>
          <w:rFonts w:hint="eastAsia" w:ascii="Times New Roman" w:hAnsi="Times New Roman" w:eastAsia="仿宋_GB2312" w:cs="Times New Roman"/>
          <w:kern w:val="0"/>
          <w:sz w:val="32"/>
          <w:szCs w:val="32"/>
          <w:lang w:val="en-US" w:eastAsia="zh-CN"/>
        </w:rPr>
        <w:t>线上</w:t>
      </w:r>
      <w:r>
        <w:rPr>
          <w:rFonts w:hint="eastAsia" w:ascii="Times New Roman" w:hAnsi="Times New Roman" w:eastAsia="仿宋_GB2312" w:cs="Times New Roman"/>
          <w:kern w:val="0"/>
          <w:sz w:val="32"/>
          <w:szCs w:val="32"/>
        </w:rPr>
        <w:t>数字展览作为一种替代手段，开始得到快速发展和广泛应用。</w:t>
      </w:r>
    </w:p>
    <w:p w14:paraId="208851B4">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2020年初，新冠疫情的全球性爆发迫使许多国家和地区实施了严格的出行限制和社交距离措施，这对依赖人员流动和聚集的传统线下展览行业造成了巨大冲击。为了保障公共健康安全，避免疫情的进一步扩散，许多线下展览被迫取消或延期，这促使主办方和参展商寻求新的展示和交流方式。</w:t>
      </w:r>
    </w:p>
    <w:p w14:paraId="32E145CD">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数字展览作为线下展览的替代方案</w:t>
      </w:r>
      <w:r>
        <w:rPr>
          <w:rFonts w:hint="eastAsia" w:ascii="Times New Roman" w:hAnsi="Times New Roman" w:eastAsia="仿宋_GB2312" w:cs="Times New Roman"/>
          <w:kern w:val="0"/>
          <w:sz w:val="32"/>
          <w:szCs w:val="32"/>
          <w:lang w:val="en-US" w:eastAsia="zh-CN"/>
        </w:rPr>
        <w:t>及内容补充</w:t>
      </w:r>
      <w:r>
        <w:rPr>
          <w:rFonts w:hint="eastAsia" w:ascii="Times New Roman" w:hAnsi="Times New Roman" w:eastAsia="仿宋_GB2312" w:cs="Times New Roman"/>
          <w:kern w:val="0"/>
          <w:sz w:val="32"/>
          <w:szCs w:val="32"/>
        </w:rPr>
        <w:t>，能够为企业提供</w:t>
      </w:r>
      <w:r>
        <w:rPr>
          <w:rFonts w:hint="eastAsia" w:ascii="Times New Roman" w:hAnsi="Times New Roman" w:eastAsia="仿宋_GB2312" w:cs="Times New Roman"/>
          <w:kern w:val="0"/>
          <w:sz w:val="32"/>
          <w:szCs w:val="32"/>
          <w:lang w:val="en-US" w:eastAsia="zh-CN"/>
        </w:rPr>
        <w:t>全天候</w:t>
      </w:r>
      <w:r>
        <w:rPr>
          <w:rFonts w:hint="eastAsia" w:ascii="Times New Roman" w:hAnsi="Times New Roman" w:eastAsia="仿宋_GB2312" w:cs="Times New Roman"/>
          <w:kern w:val="0"/>
          <w:sz w:val="32"/>
          <w:szCs w:val="32"/>
        </w:rPr>
        <w:t>展示产品和服务的平台，同时</w:t>
      </w:r>
      <w:r>
        <w:rPr>
          <w:rFonts w:hint="eastAsia" w:ascii="Times New Roman" w:hAnsi="Times New Roman" w:eastAsia="仿宋_GB2312" w:cs="Times New Roman"/>
          <w:kern w:val="0"/>
          <w:sz w:val="32"/>
          <w:szCs w:val="32"/>
          <w:lang w:val="en-US" w:eastAsia="zh-CN"/>
        </w:rPr>
        <w:t>降低</w:t>
      </w:r>
      <w:r>
        <w:rPr>
          <w:rFonts w:hint="eastAsia" w:ascii="Times New Roman" w:hAnsi="Times New Roman" w:eastAsia="仿宋_GB2312" w:cs="Times New Roman"/>
          <w:kern w:val="0"/>
          <w:sz w:val="32"/>
          <w:szCs w:val="32"/>
        </w:rPr>
        <w:t>参展人员的</w:t>
      </w:r>
      <w:r>
        <w:rPr>
          <w:rFonts w:hint="eastAsia" w:ascii="Times New Roman" w:hAnsi="Times New Roman" w:eastAsia="仿宋_GB2312" w:cs="Times New Roman"/>
          <w:kern w:val="0"/>
          <w:sz w:val="32"/>
          <w:szCs w:val="32"/>
          <w:lang w:val="en-US" w:eastAsia="zh-CN"/>
        </w:rPr>
        <w:t>交通成本和时间成本</w:t>
      </w:r>
      <w:r>
        <w:rPr>
          <w:rFonts w:hint="eastAsia" w:ascii="Times New Roman" w:hAnsi="Times New Roman" w:eastAsia="仿宋_GB2312" w:cs="Times New Roman"/>
          <w:kern w:val="0"/>
          <w:sz w:val="32"/>
          <w:szCs w:val="32"/>
        </w:rPr>
        <w:t>。</w:t>
      </w:r>
    </w:p>
    <w:p w14:paraId="17C08C05">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不可忽视的是，</w:t>
      </w:r>
      <w:r>
        <w:rPr>
          <w:rFonts w:hint="eastAsia" w:ascii="Times New Roman" w:hAnsi="Times New Roman" w:eastAsia="仿宋_GB2312" w:cs="Times New Roman"/>
          <w:kern w:val="0"/>
          <w:sz w:val="32"/>
          <w:szCs w:val="32"/>
        </w:rPr>
        <w:t>技术发展与创新驱动</w:t>
      </w:r>
      <w:r>
        <w:rPr>
          <w:rFonts w:hint="eastAsia" w:ascii="Times New Roman" w:hAnsi="Times New Roman" w:eastAsia="仿宋_GB2312" w:cs="Times New Roman"/>
          <w:kern w:val="0"/>
          <w:sz w:val="32"/>
          <w:szCs w:val="32"/>
          <w:lang w:val="en-US" w:eastAsia="zh-CN"/>
        </w:rPr>
        <w:t>是数字展览出现的基石。</w:t>
      </w:r>
      <w:r>
        <w:rPr>
          <w:rFonts w:hint="eastAsia" w:ascii="Times New Roman" w:hAnsi="Times New Roman" w:eastAsia="仿宋_GB2312" w:cs="Times New Roman"/>
          <w:kern w:val="0"/>
          <w:sz w:val="32"/>
          <w:szCs w:val="32"/>
        </w:rPr>
        <w:t>近年来，互联网技术、移动通信技术、云计算、大数据、人工智能等信息技术的快速发展，为数字展览提供了技术基础和可能性。疫情成为了加速各行各业数字化转型的催化剂，展览行业也不例外。企业和组织开始积极探索如何利用数字技术进行产品和服务的展示。</w:t>
      </w:r>
    </w:p>
    <w:p w14:paraId="667962FD">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疫情对全球经济造成了严重影响，许多企业面临经济压力。数字展览相比传统展览具有更低的成本，能够帮助企业在有限的预算内实现市场推广。随着消费者行为和市场环境的变化，企业需要快速适应新的市场需求。数字展览提供了一个灵活的平台，使企业能够迅速调整展示策略和内容。允许企业在疫情期间保持市场接入，继续与客户和合作伙伴进行交流和合作，减少疫情对业务的负面影响。</w:t>
      </w:r>
    </w:p>
    <w:p w14:paraId="05B03CDC">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数字展览的出现是对传统展览模式的一次重要补充和革新。它不仅满足了社会</w:t>
      </w:r>
      <w:r>
        <w:rPr>
          <w:rFonts w:hint="eastAsia" w:ascii="Times New Roman" w:hAnsi="Times New Roman" w:eastAsia="仿宋_GB2312" w:cs="Times New Roman"/>
          <w:kern w:val="0"/>
          <w:sz w:val="32"/>
          <w:szCs w:val="32"/>
          <w:lang w:val="en-US" w:eastAsia="zh-CN"/>
        </w:rPr>
        <w:t>和市场</w:t>
      </w:r>
      <w:r>
        <w:rPr>
          <w:rFonts w:hint="eastAsia" w:ascii="Times New Roman" w:hAnsi="Times New Roman" w:eastAsia="仿宋_GB2312" w:cs="Times New Roman"/>
          <w:kern w:val="0"/>
          <w:sz w:val="32"/>
          <w:szCs w:val="32"/>
        </w:rPr>
        <w:t>需求，也是技术发展和创新驱动的产物，同时体现了经济和市场适应性。随着技术的不断进步和市场需求的不断演变，数字展览将继续发展和完善，成为未来展览行业的重要组成部分，为全球商业交流和经济发展提供新的动力和平台。</w:t>
      </w:r>
    </w:p>
    <w:p w14:paraId="671269D4">
      <w:pPr>
        <w:pStyle w:val="3"/>
        <w:pageBreakBefore w:val="0"/>
        <w:kinsoku/>
        <w:overflowPunct/>
        <w:topLinePunct w:val="0"/>
        <w:bidi w:val="0"/>
        <w:snapToGrid/>
        <w:spacing w:before="120" w:after="0" w:line="560" w:lineRule="exact"/>
        <w:ind w:firstLine="643" w:firstLineChars="200"/>
        <w:textAlignment w:val="auto"/>
        <w:rPr>
          <w:rFonts w:hint="eastAsia"/>
          <w:sz w:val="32"/>
          <w:szCs w:val="32"/>
        </w:rPr>
      </w:pPr>
      <w:r>
        <w:rPr>
          <w:rFonts w:hint="eastAsia"/>
          <w:sz w:val="32"/>
          <w:szCs w:val="32"/>
        </w:rPr>
        <w:t>（二）目的意义</w:t>
      </w:r>
    </w:p>
    <w:p w14:paraId="55DAC793">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数字展会，作为传统线下展会在数字时代的延伸和发展，具有其独特的目的和意义。</w:t>
      </w:r>
    </w:p>
    <w:p w14:paraId="71F13F3A">
      <w:pPr>
        <w:pageBreakBefore w:val="0"/>
        <w:numPr>
          <w:ilvl w:val="0"/>
          <w:numId w:val="0"/>
        </w:numPr>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rPr>
        <w:t>促进全球交流与合作</w:t>
      </w:r>
    </w:p>
    <w:p w14:paraId="1F94B1BE">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会通过线上平台，打破了地理和空间的限制，使得全球各地的参展商和观众能够在同一虚拟空间中进行交流和互动。这种全球性的交流促进了不同文化和商业背景的参与者之间的相互理解和合作机会。数字展会的这种全球性特征，有助于拓展国际市场，加强跨国界的商业联系，推动全球贸易的发展。</w:t>
      </w:r>
    </w:p>
    <w:p w14:paraId="4B34FADC">
      <w:pPr>
        <w:pageBreakBefore w:val="0"/>
        <w:numPr>
          <w:numId w:val="0"/>
        </w:numPr>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降低参展成本与门槛</w:t>
      </w:r>
    </w:p>
    <w:p w14:paraId="6E825F6A">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传统的线下展会相比，数字展会显著降低了参展成本。参展商无需承担高昂的展位租赁费、运输费、搭建费等，只需通过网络平台即可展示产品或服务。这不仅减轻了企业的经济负担，也降低了中小企业和初创企业的参展门槛，使更多的企业有机会参与到行业交流中来，从而促进了市场的多元化和竞争的公平性。</w:t>
      </w:r>
    </w:p>
    <w:p w14:paraId="0E1B613C">
      <w:pPr>
        <w:pageBreakBefore w:val="0"/>
        <w:numPr>
          <w:numId w:val="0"/>
        </w:numPr>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提供创新的展示手段</w:t>
      </w:r>
    </w:p>
    <w:p w14:paraId="3D8067A1">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会利用现代信息技术，如虚拟现实(VR)、增强现实(AR)、3D建模等，为参展商提供了创新的展示手段。这些技术的应用不仅增强了展示的互动性和吸引力，也为观众提供了更加直观和生动的体验。通过这些创新的展示手段，参展商可以更有效地传达产品特性和企业理念，吸引潜在客户的注意力。</w:t>
      </w:r>
    </w:p>
    <w:p w14:paraId="45726E2A">
      <w:pPr>
        <w:pageBreakBefore w:val="0"/>
        <w:numPr>
          <w:numId w:val="0"/>
        </w:numPr>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实现数据驱动的精准营销</w:t>
      </w:r>
    </w:p>
    <w:p w14:paraId="02613C18">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会可以收集和分析大量的用户行为数据，包括访问时间、浏览路径、互动情况等。这些数据为参展商提供了宝贵的市场洞察，帮助他们更好地了解目标客户的需求和偏好。基于这些数据，参展商可以进行精准营销，制定更加有效的市场策略，提高转化率和客户满意度。</w:t>
      </w:r>
    </w:p>
    <w:p w14:paraId="307CD193">
      <w:pPr>
        <w:pageBreakBefore w:val="0"/>
        <w:numPr>
          <w:numId w:val="0"/>
        </w:numPr>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增强展会的持续性与可访问性</w:t>
      </w:r>
    </w:p>
    <w:p w14:paraId="13C04EA8">
      <w:pPr>
        <w:pageBreakBefore w:val="0"/>
        <w:kinsoku/>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传统展会的短期性相比，数字展会具有更强的持续性。参展商的展示内容可以长期在线，观众可以随时访问，不受时间和地点的限制。这种持续性不仅延长了展会的影响力，也为参展商和观众提供了更多的交流和合作机会。此外，数字展会的可访问性也意味着更多的潜在客户可以通过网络平台了解企业，从而扩大企业的市场覆盖范围。</w:t>
      </w:r>
    </w:p>
    <w:p w14:paraId="55127858">
      <w:pPr>
        <w:pageBreakBefore w:val="0"/>
        <w:kinsoku/>
        <w:overflowPunct/>
        <w:topLinePunct w:val="0"/>
        <w:autoSpaceDE w:val="0"/>
        <w:autoSpaceDN w:val="0"/>
        <w:bidi w:val="0"/>
        <w:adjustRightInd w:val="0"/>
        <w:snapToGrid/>
        <w:spacing w:line="56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数字展会作为一种新兴的展示和交流平台，其目的和意义远不止于此。它不仅为参展商和观众提供了便利和效率，也为会展行业的创新和发展开辟了新的道路。随着技术的不断进步和市场需求的不断变化，数字展会将继续演变，满足不断变化的市场需求，并在未来的商业交流和贸易中发挥更加重要的作用。</w:t>
      </w:r>
    </w:p>
    <w:p w14:paraId="277961F3">
      <w:pPr>
        <w:pStyle w:val="2"/>
        <w:pageBreakBefore w:val="0"/>
        <w:kinsoku/>
        <w:overflowPunct/>
        <w:topLinePunct w:val="0"/>
        <w:bidi w:val="0"/>
        <w:snapToGrid/>
        <w:spacing w:before="0" w:after="0" w:line="560" w:lineRule="exact"/>
        <w:ind w:firstLine="640" w:firstLineChars="200"/>
        <w:textAlignment w:val="auto"/>
        <w:rPr>
          <w:rFonts w:ascii="黑体" w:hAnsi="黑体" w:eastAsia="黑体"/>
          <w:b w:val="0"/>
          <w:sz w:val="32"/>
          <w:szCs w:val="32"/>
        </w:rPr>
      </w:pPr>
      <w:r>
        <w:rPr>
          <w:rFonts w:hint="eastAsia" w:ascii="黑体" w:hAnsi="黑体" w:eastAsia="黑体"/>
          <w:b w:val="0"/>
          <w:sz w:val="32"/>
          <w:szCs w:val="32"/>
        </w:rPr>
        <w:t>三、编制思路和原则</w:t>
      </w:r>
    </w:p>
    <w:p w14:paraId="3C19D8AB">
      <w:pPr>
        <w:pStyle w:val="3"/>
        <w:pageBreakBefore w:val="0"/>
        <w:kinsoku/>
        <w:overflowPunct/>
        <w:topLinePunct w:val="0"/>
        <w:bidi w:val="0"/>
        <w:snapToGrid/>
        <w:spacing w:before="120" w:after="0" w:line="560" w:lineRule="exact"/>
        <w:ind w:firstLine="643" w:firstLineChars="200"/>
        <w:textAlignment w:val="auto"/>
        <w:rPr>
          <w:rFonts w:hint="eastAsia"/>
          <w:sz w:val="32"/>
          <w:szCs w:val="32"/>
        </w:rPr>
      </w:pPr>
      <w:r>
        <w:rPr>
          <w:rFonts w:hint="eastAsia"/>
          <w:sz w:val="32"/>
          <w:szCs w:val="32"/>
        </w:rPr>
        <w:t>（一）编制思路</w:t>
      </w:r>
    </w:p>
    <w:p w14:paraId="4AF1DC54">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本标准</w:t>
      </w:r>
      <w:r>
        <w:rPr>
          <w:rFonts w:hint="eastAsia" w:ascii="Times New Roman" w:hAnsi="Times New Roman" w:eastAsia="仿宋_GB2312" w:cs="Times New Roman"/>
          <w:kern w:val="0"/>
          <w:sz w:val="32"/>
          <w:szCs w:val="32"/>
        </w:rPr>
        <w:t>编制遵循一定的思路和步骤来确保其合理性、有效性和可执行性</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基本思路</w:t>
      </w:r>
      <w:r>
        <w:rPr>
          <w:rFonts w:hint="eastAsia" w:ascii="Times New Roman" w:hAnsi="Times New Roman" w:eastAsia="仿宋_GB2312" w:cs="Times New Roman"/>
          <w:kern w:val="0"/>
          <w:sz w:val="32"/>
          <w:szCs w:val="32"/>
          <w:lang w:val="en-US" w:eastAsia="zh-CN"/>
        </w:rPr>
        <w:t>如下</w:t>
      </w:r>
      <w:r>
        <w:rPr>
          <w:rFonts w:hint="eastAsia" w:ascii="Times New Roman" w:hAnsi="Times New Roman" w:eastAsia="仿宋_GB2312" w:cs="Times New Roman"/>
          <w:kern w:val="0"/>
          <w:sz w:val="32"/>
          <w:szCs w:val="32"/>
        </w:rPr>
        <w:t>：</w:t>
      </w:r>
    </w:p>
    <w:p w14:paraId="18DDDEC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1.明确目的和范围：</w:t>
      </w:r>
    </w:p>
    <w:p w14:paraId="28BC44C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确定规范草案的目标和预期效果。</w:t>
      </w:r>
    </w:p>
    <w:p w14:paraId="3523256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明确规范的适用范围和对象。</w:t>
      </w:r>
    </w:p>
    <w:p w14:paraId="0DB9B08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2.收集背景资料：</w:t>
      </w:r>
    </w:p>
    <w:p w14:paraId="3E94410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收集相关的行业标准、最佳实践等。</w:t>
      </w:r>
    </w:p>
    <w:p w14:paraId="16B4462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了解当前领域内存在的问题和需求。</w:t>
      </w:r>
    </w:p>
    <w:p w14:paraId="00A1C6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3.确定基本原则：</w:t>
      </w:r>
    </w:p>
    <w:p w14:paraId="1FFCBD07">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确保规范草案与现有的行业实践相协调。</w:t>
      </w:r>
    </w:p>
    <w:p w14:paraId="5E432B7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4.利益相关方分析：</w:t>
      </w:r>
    </w:p>
    <w:p w14:paraId="6BC675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识别所有可能受到规范草案影响的利益相关方。</w:t>
      </w:r>
    </w:p>
    <w:p w14:paraId="7920FBD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考虑不同利益相关方的需求和期望。</w:t>
      </w:r>
    </w:p>
    <w:p w14:paraId="7F177DE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5.草案框架设计：</w:t>
      </w:r>
    </w:p>
    <w:p w14:paraId="340D117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设计规范草案的基本结构和章节划分。</w:t>
      </w:r>
    </w:p>
    <w:p w14:paraId="33E6B54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确定各部分内容的逻辑顺序和层次。</w:t>
      </w:r>
    </w:p>
    <w:p w14:paraId="5B84E9F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6.具体条款撰写：</w:t>
      </w:r>
    </w:p>
    <w:p w14:paraId="223D44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根据框架撰写具体的条款和细则。</w:t>
      </w:r>
    </w:p>
    <w:p w14:paraId="12793B9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确保条款的明确性、具体性和可操作性。</w:t>
      </w:r>
    </w:p>
    <w:p w14:paraId="6B29D9E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7.风险评估与合规性检查：</w:t>
      </w:r>
    </w:p>
    <w:p w14:paraId="0F0A08B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对草案内容进行风险评估，预测可能的问题和挑战。</w:t>
      </w:r>
    </w:p>
    <w:p w14:paraId="6C81C53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草案研讨</w:t>
      </w:r>
      <w:r>
        <w:rPr>
          <w:rFonts w:hint="eastAsia" w:ascii="仿宋_GB2312" w:hAnsi="仿宋_GB2312" w:eastAsia="仿宋_GB2312" w:cs="仿宋_GB2312"/>
          <w:kern w:val="0"/>
          <w:sz w:val="32"/>
          <w:szCs w:val="32"/>
        </w:rPr>
        <w:t>：</w:t>
      </w:r>
    </w:p>
    <w:p w14:paraId="35628447">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将草案提交给内部团队、外部专家或利益相关方征求意见。</w:t>
      </w:r>
    </w:p>
    <w:p w14:paraId="614DF49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收集反馈并对草案进行修改和完善。</w:t>
      </w:r>
    </w:p>
    <w:p w14:paraId="42AA6807">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9.草案的反复修订：</w:t>
      </w:r>
    </w:p>
    <w:p w14:paraId="06456C7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根据收集到的反馈进行多轮修订。</w:t>
      </w:r>
    </w:p>
    <w:p w14:paraId="2037E0B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确保草案内容的准确性和完整性。</w:t>
      </w:r>
    </w:p>
    <w:p w14:paraId="49F9FB0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形成征求意见稿</w:t>
      </w:r>
      <w:r>
        <w:rPr>
          <w:rFonts w:hint="eastAsia" w:ascii="仿宋_GB2312" w:hAnsi="仿宋_GB2312" w:eastAsia="仿宋_GB2312" w:cs="仿宋_GB2312"/>
          <w:kern w:val="0"/>
          <w:sz w:val="32"/>
          <w:szCs w:val="32"/>
        </w:rPr>
        <w:t>：</w:t>
      </w:r>
    </w:p>
    <w:p w14:paraId="7A06BDA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草案的</w:t>
      </w:r>
      <w:r>
        <w:rPr>
          <w:rFonts w:hint="eastAsia" w:ascii="仿宋_GB2312" w:hAnsi="仿宋_GB2312" w:eastAsia="仿宋_GB2312" w:cs="仿宋_GB2312"/>
          <w:kern w:val="0"/>
          <w:sz w:val="32"/>
          <w:szCs w:val="32"/>
        </w:rPr>
        <w:t>所有修订后，形成</w:t>
      </w:r>
      <w:r>
        <w:rPr>
          <w:rFonts w:hint="eastAsia" w:ascii="仿宋_GB2312" w:hAnsi="仿宋_GB2312" w:eastAsia="仿宋_GB2312" w:cs="仿宋_GB2312"/>
          <w:kern w:val="0"/>
          <w:sz w:val="32"/>
          <w:szCs w:val="32"/>
          <w:lang w:val="en-US" w:eastAsia="zh-CN"/>
        </w:rPr>
        <w:t>征求意见稿</w:t>
      </w:r>
      <w:r>
        <w:rPr>
          <w:rFonts w:hint="eastAsia" w:ascii="仿宋_GB2312" w:hAnsi="仿宋_GB2312" w:eastAsia="仿宋_GB2312" w:cs="仿宋_GB2312"/>
          <w:kern w:val="0"/>
          <w:sz w:val="32"/>
          <w:szCs w:val="32"/>
        </w:rPr>
        <w:t>版本。</w:t>
      </w:r>
    </w:p>
    <w:p w14:paraId="07CFC12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准备</w:t>
      </w:r>
      <w:r>
        <w:rPr>
          <w:rFonts w:hint="eastAsia" w:ascii="仿宋_GB2312" w:hAnsi="仿宋_GB2312" w:eastAsia="仿宋_GB2312" w:cs="仿宋_GB2312"/>
          <w:kern w:val="0"/>
          <w:sz w:val="32"/>
          <w:szCs w:val="32"/>
          <w:lang w:val="en-US" w:eastAsia="zh-CN"/>
        </w:rPr>
        <w:t>征求意见稿的</w:t>
      </w:r>
      <w:r>
        <w:rPr>
          <w:rFonts w:hint="eastAsia" w:ascii="仿宋_GB2312" w:hAnsi="仿宋_GB2312" w:eastAsia="仿宋_GB2312" w:cs="仿宋_GB2312"/>
          <w:kern w:val="0"/>
          <w:sz w:val="32"/>
          <w:szCs w:val="32"/>
        </w:rPr>
        <w:t>发布和</w:t>
      </w:r>
      <w:r>
        <w:rPr>
          <w:rFonts w:hint="eastAsia" w:ascii="仿宋_GB2312" w:hAnsi="仿宋_GB2312" w:eastAsia="仿宋_GB2312" w:cs="仿宋_GB2312"/>
          <w:kern w:val="0"/>
          <w:sz w:val="32"/>
          <w:szCs w:val="32"/>
          <w:lang w:val="en-US" w:eastAsia="zh-CN"/>
        </w:rPr>
        <w:t>意见征集</w:t>
      </w:r>
      <w:r>
        <w:rPr>
          <w:rFonts w:hint="eastAsia" w:ascii="仿宋_GB2312" w:hAnsi="仿宋_GB2312" w:eastAsia="仿宋_GB2312" w:cs="仿宋_GB2312"/>
          <w:kern w:val="0"/>
          <w:sz w:val="32"/>
          <w:szCs w:val="32"/>
        </w:rPr>
        <w:t>。</w:t>
      </w:r>
    </w:p>
    <w:p w14:paraId="116B4EF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.后续</w:t>
      </w:r>
      <w:r>
        <w:rPr>
          <w:rFonts w:hint="eastAsia" w:ascii="仿宋_GB2312" w:hAnsi="仿宋_GB2312" w:eastAsia="仿宋_GB2312" w:cs="仿宋_GB2312"/>
          <w:kern w:val="0"/>
          <w:sz w:val="32"/>
          <w:szCs w:val="32"/>
          <w:lang w:val="en-US" w:eastAsia="zh-CN"/>
        </w:rPr>
        <w:t>修订</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val="en-US" w:eastAsia="zh-CN"/>
        </w:rPr>
        <w:t>更新</w:t>
      </w:r>
      <w:r>
        <w:rPr>
          <w:rFonts w:hint="eastAsia" w:ascii="仿宋_GB2312" w:hAnsi="仿宋_GB2312" w:eastAsia="仿宋_GB2312" w:cs="仿宋_GB2312"/>
          <w:kern w:val="0"/>
          <w:sz w:val="32"/>
          <w:szCs w:val="32"/>
        </w:rPr>
        <w:t>：</w:t>
      </w:r>
    </w:p>
    <w:p w14:paraId="22B7DDF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根据意见反馈情况对征求意见稿进一步修订</w:t>
      </w:r>
      <w:r>
        <w:rPr>
          <w:rFonts w:hint="eastAsia" w:ascii="仿宋_GB2312" w:hAnsi="仿宋_GB2312" w:eastAsia="仿宋_GB2312" w:cs="仿宋_GB2312"/>
          <w:kern w:val="0"/>
          <w:sz w:val="32"/>
          <w:szCs w:val="32"/>
        </w:rPr>
        <w:t>。</w:t>
      </w:r>
    </w:p>
    <w:p w14:paraId="0F89034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根据实际情况和反馈</w:t>
      </w:r>
      <w:r>
        <w:rPr>
          <w:rFonts w:hint="eastAsia" w:ascii="仿宋_GB2312" w:hAnsi="仿宋_GB2312" w:eastAsia="仿宋_GB2312" w:cs="仿宋_GB2312"/>
          <w:kern w:val="0"/>
          <w:sz w:val="32"/>
          <w:szCs w:val="32"/>
          <w:lang w:val="en-US" w:eastAsia="zh-CN"/>
        </w:rPr>
        <w:t>对标准内容</w:t>
      </w:r>
      <w:r>
        <w:rPr>
          <w:rFonts w:hint="eastAsia" w:ascii="仿宋_GB2312" w:hAnsi="仿宋_GB2312" w:eastAsia="仿宋_GB2312" w:cs="仿宋_GB2312"/>
          <w:kern w:val="0"/>
          <w:sz w:val="32"/>
          <w:szCs w:val="32"/>
        </w:rPr>
        <w:t>进行必要的更新。</w:t>
      </w:r>
    </w:p>
    <w:p w14:paraId="087724D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en-US" w:eastAsia="zh-CN"/>
        </w:rPr>
        <w:t>线上</w:t>
      </w:r>
      <w:r>
        <w:rPr>
          <w:rFonts w:hint="eastAsia" w:ascii="仿宋_GB2312" w:hAnsi="仿宋_GB2312" w:eastAsia="仿宋_GB2312" w:cs="仿宋_GB2312"/>
          <w:kern w:val="0"/>
          <w:sz w:val="32"/>
          <w:szCs w:val="32"/>
        </w:rPr>
        <w:t>数字展览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服务规范</w:t>
      </w:r>
      <w:r>
        <w:rPr>
          <w:rFonts w:hint="eastAsia" w:ascii="仿宋_GB2312" w:hAnsi="仿宋_GB2312" w:eastAsia="仿宋_GB2312" w:cs="仿宋_GB2312"/>
          <w:kern w:val="0"/>
          <w:sz w:val="32"/>
          <w:szCs w:val="32"/>
        </w:rPr>
        <w:t>是一个系统性的工作，需要综合考虑多方面因素，通过不断的沟通、协调和修订，以确保规范的科学性、合理性和实用性。</w:t>
      </w:r>
    </w:p>
    <w:p w14:paraId="1CF68D35">
      <w:pPr>
        <w:pStyle w:val="3"/>
        <w:pageBreakBefore w:val="0"/>
        <w:kinsoku/>
        <w:overflowPunct/>
        <w:topLinePunct w:val="0"/>
        <w:bidi w:val="0"/>
        <w:snapToGrid/>
        <w:spacing w:before="120" w:after="0" w:line="560" w:lineRule="exact"/>
        <w:ind w:firstLine="643" w:firstLineChars="200"/>
        <w:textAlignment w:val="auto"/>
        <w:rPr>
          <w:rFonts w:hint="eastAsia"/>
          <w:sz w:val="32"/>
          <w:szCs w:val="32"/>
        </w:rPr>
      </w:pPr>
      <w:bookmarkStart w:id="2" w:name="_Hlk511641304"/>
      <w:r>
        <w:rPr>
          <w:rFonts w:hint="eastAsia"/>
          <w:sz w:val="32"/>
          <w:szCs w:val="32"/>
        </w:rPr>
        <w:t>（二）编制原则</w:t>
      </w:r>
    </w:p>
    <w:bookmarkEnd w:id="2"/>
    <w:p w14:paraId="0F634C3A">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本标准的编制过程主要</w:t>
      </w:r>
      <w:r>
        <w:rPr>
          <w:rFonts w:hint="eastAsia" w:ascii="Times New Roman" w:hAnsi="Times New Roman" w:eastAsia="仿宋_GB2312" w:cs="Times New Roman"/>
          <w:kern w:val="0"/>
          <w:sz w:val="32"/>
          <w:szCs w:val="32"/>
        </w:rPr>
        <w:t>遵循以下原则：</w:t>
      </w:r>
    </w:p>
    <w:p w14:paraId="0DB5BFCB">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1.合法性原则：</w:t>
      </w:r>
      <w:r>
        <w:rPr>
          <w:rFonts w:hint="eastAsia" w:ascii="Times New Roman" w:hAnsi="Times New Roman" w:eastAsia="仿宋_GB2312" w:cs="Times New Roman"/>
          <w:kern w:val="0"/>
          <w:sz w:val="32"/>
          <w:szCs w:val="32"/>
          <w:lang w:val="en-US" w:eastAsia="zh-CN"/>
        </w:rPr>
        <w:t>标准</w:t>
      </w:r>
      <w:r>
        <w:rPr>
          <w:rFonts w:hint="eastAsia" w:ascii="Times New Roman" w:hAnsi="Times New Roman" w:eastAsia="仿宋_GB2312" w:cs="Times New Roman"/>
          <w:kern w:val="0"/>
          <w:sz w:val="32"/>
          <w:szCs w:val="32"/>
        </w:rPr>
        <w:t>必须符合国家法律法规和相关政策，确保其合法性。</w:t>
      </w:r>
    </w:p>
    <w:p w14:paraId="1F07361B">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2.公平性原则：确保所有参展方在</w:t>
      </w:r>
      <w:r>
        <w:rPr>
          <w:rFonts w:hint="eastAsia" w:ascii="Times New Roman" w:hAnsi="Times New Roman" w:eastAsia="仿宋_GB2312" w:cs="Times New Roman"/>
          <w:kern w:val="0"/>
          <w:sz w:val="32"/>
          <w:szCs w:val="32"/>
          <w:lang w:val="en-US" w:eastAsia="zh-CN"/>
        </w:rPr>
        <w:t>线上</w:t>
      </w:r>
      <w:r>
        <w:rPr>
          <w:rFonts w:hint="eastAsia" w:ascii="Times New Roman" w:hAnsi="Times New Roman" w:eastAsia="仿宋_GB2312" w:cs="Times New Roman"/>
          <w:kern w:val="0"/>
          <w:sz w:val="32"/>
          <w:szCs w:val="32"/>
        </w:rPr>
        <w:t>数字展览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中享有平等的机会和权利，避免歧视和不正当竞争。</w:t>
      </w:r>
    </w:p>
    <w:p w14:paraId="64DEBE84">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3.透明性原则：</w:t>
      </w:r>
      <w:r>
        <w:rPr>
          <w:rFonts w:hint="eastAsia" w:ascii="Times New Roman" w:hAnsi="Times New Roman" w:eastAsia="仿宋_GB2312" w:cs="Times New Roman"/>
          <w:kern w:val="0"/>
          <w:sz w:val="32"/>
          <w:szCs w:val="32"/>
          <w:lang w:val="en-US" w:eastAsia="zh-CN"/>
        </w:rPr>
        <w:t>标准内容</w:t>
      </w:r>
      <w:r>
        <w:rPr>
          <w:rFonts w:hint="eastAsia" w:ascii="Times New Roman" w:hAnsi="Times New Roman" w:eastAsia="仿宋_GB2312" w:cs="Times New Roman"/>
          <w:kern w:val="0"/>
          <w:sz w:val="32"/>
          <w:szCs w:val="32"/>
        </w:rPr>
        <w:t>应公开透明，让所有利益相关方都能清楚了解规范内容和要求。</w:t>
      </w:r>
    </w:p>
    <w:p w14:paraId="346A7B4B">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rPr>
        <w:t>4</w:t>
      </w:r>
      <w:r>
        <w:rPr>
          <w:rFonts w:hint="eastAsia" w:ascii="Times New Roman" w:hAnsi="Times New Roman" w:eastAsia="仿宋_GB2312" w:cs="Times New Roman"/>
          <w:kern w:val="0"/>
          <w:sz w:val="32"/>
          <w:szCs w:val="32"/>
        </w:rPr>
        <w:t>.安全性原则：确保</w:t>
      </w:r>
      <w:r>
        <w:rPr>
          <w:rFonts w:hint="eastAsia" w:ascii="Times New Roman" w:hAnsi="Times New Roman" w:eastAsia="仿宋_GB2312" w:cs="Times New Roman"/>
          <w:kern w:val="0"/>
          <w:sz w:val="32"/>
          <w:szCs w:val="32"/>
          <w:lang w:val="en-US" w:eastAsia="zh-CN"/>
        </w:rPr>
        <w:t>线上</w:t>
      </w:r>
      <w:r>
        <w:rPr>
          <w:rFonts w:hint="eastAsia" w:ascii="Times New Roman" w:hAnsi="Times New Roman" w:eastAsia="仿宋_GB2312" w:cs="Times New Roman"/>
          <w:kern w:val="0"/>
          <w:sz w:val="32"/>
          <w:szCs w:val="32"/>
        </w:rPr>
        <w:t>数字展览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的网络安全，保护参展方和观众的个人信息和数据安全。</w:t>
      </w:r>
    </w:p>
    <w:p w14:paraId="1CF8FE63">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rPr>
        <w:t>5</w:t>
      </w:r>
      <w:r>
        <w:rPr>
          <w:rFonts w:hint="eastAsia" w:ascii="Times New Roman" w:hAnsi="Times New Roman" w:eastAsia="仿宋_GB2312" w:cs="Times New Roman"/>
          <w:kern w:val="0"/>
          <w:sz w:val="32"/>
          <w:szCs w:val="32"/>
        </w:rPr>
        <w:t>.创新性原则：鼓励使用创新技术和方法，提升</w:t>
      </w:r>
      <w:r>
        <w:rPr>
          <w:rFonts w:hint="eastAsia" w:ascii="Times New Roman" w:hAnsi="Times New Roman" w:eastAsia="仿宋_GB2312" w:cs="Times New Roman"/>
          <w:kern w:val="0"/>
          <w:sz w:val="32"/>
          <w:szCs w:val="32"/>
          <w:lang w:val="en-US" w:eastAsia="zh-CN"/>
        </w:rPr>
        <w:t>线上</w:t>
      </w:r>
      <w:r>
        <w:rPr>
          <w:rFonts w:hint="eastAsia" w:ascii="Times New Roman" w:hAnsi="Times New Roman" w:eastAsia="仿宋_GB2312" w:cs="Times New Roman"/>
          <w:kern w:val="0"/>
          <w:sz w:val="32"/>
          <w:szCs w:val="32"/>
        </w:rPr>
        <w:t>数字展览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的互动性、吸引力和效率。</w:t>
      </w:r>
    </w:p>
    <w:p w14:paraId="48C75810">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rPr>
        <w:t>6</w:t>
      </w:r>
      <w:r>
        <w:rPr>
          <w:rFonts w:hint="eastAsia" w:ascii="Times New Roman" w:hAnsi="Times New Roman" w:eastAsia="仿宋_GB2312" w:cs="Times New Roman"/>
          <w:kern w:val="0"/>
          <w:sz w:val="32"/>
          <w:szCs w:val="32"/>
        </w:rPr>
        <w:t>.用户中心原则：规范应以用户需求为中心，提供高质量的参展和观展体验。</w:t>
      </w:r>
    </w:p>
    <w:p w14:paraId="26923D91">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rPr>
        <w:t>7</w:t>
      </w:r>
      <w:r>
        <w:rPr>
          <w:rFonts w:hint="eastAsia" w:ascii="Times New Roman" w:hAnsi="Times New Roman" w:eastAsia="仿宋_GB2312" w:cs="Times New Roman"/>
          <w:kern w:val="0"/>
          <w:sz w:val="32"/>
          <w:szCs w:val="32"/>
        </w:rPr>
        <w:t>.灵活性原则：</w:t>
      </w:r>
      <w:r>
        <w:rPr>
          <w:rFonts w:hint="eastAsia" w:ascii="Times New Roman" w:hAnsi="Times New Roman" w:eastAsia="仿宋_GB2312" w:cs="Times New Roman"/>
          <w:kern w:val="0"/>
          <w:sz w:val="32"/>
          <w:szCs w:val="32"/>
          <w:lang w:val="en-US" w:eastAsia="zh-CN"/>
        </w:rPr>
        <w:t>标准</w:t>
      </w:r>
      <w:r>
        <w:rPr>
          <w:rFonts w:hint="eastAsia" w:ascii="Times New Roman" w:hAnsi="Times New Roman" w:eastAsia="仿宋_GB2312" w:cs="Times New Roman"/>
          <w:kern w:val="0"/>
          <w:sz w:val="32"/>
          <w:szCs w:val="32"/>
        </w:rPr>
        <w:t>应具有一定的灵活性，以适应不同规模、类型和需求的</w:t>
      </w:r>
      <w:r>
        <w:rPr>
          <w:rFonts w:hint="eastAsia" w:ascii="Times New Roman" w:hAnsi="Times New Roman" w:eastAsia="仿宋_GB2312" w:cs="Times New Roman"/>
          <w:kern w:val="0"/>
          <w:sz w:val="32"/>
          <w:szCs w:val="32"/>
          <w:lang w:val="en-US" w:eastAsia="zh-CN"/>
        </w:rPr>
        <w:t>线上</w:t>
      </w:r>
      <w:r>
        <w:rPr>
          <w:rFonts w:hint="eastAsia" w:ascii="Times New Roman" w:hAnsi="Times New Roman" w:eastAsia="仿宋_GB2312" w:cs="Times New Roman"/>
          <w:kern w:val="0"/>
          <w:sz w:val="32"/>
          <w:szCs w:val="32"/>
        </w:rPr>
        <w:t>数字展览</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w:t>
      </w:r>
    </w:p>
    <w:p w14:paraId="505A4D1E">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rPr>
        <w:t>8</w:t>
      </w:r>
      <w:r>
        <w:rPr>
          <w:rFonts w:hint="eastAsia" w:ascii="Times New Roman" w:hAnsi="Times New Roman" w:eastAsia="仿宋_GB2312" w:cs="Times New Roman"/>
          <w:kern w:val="0"/>
          <w:sz w:val="32"/>
          <w:szCs w:val="32"/>
        </w:rPr>
        <w:t>.反馈和改进原则：应设立反馈机制，根据用户和参展方的反馈进行持续改进。</w:t>
      </w:r>
    </w:p>
    <w:p w14:paraId="62ED3F10">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遵循这些原则，可以确保</w:t>
      </w:r>
      <w:r>
        <w:rPr>
          <w:rFonts w:hint="eastAsia" w:ascii="Times New Roman" w:hAnsi="Times New Roman" w:eastAsia="仿宋_GB2312" w:cs="Times New Roman"/>
          <w:kern w:val="0"/>
          <w:sz w:val="32"/>
          <w:szCs w:val="32"/>
          <w:lang w:val="en-US" w:eastAsia="zh-CN"/>
        </w:rPr>
        <w:t>本标准</w:t>
      </w:r>
      <w:r>
        <w:rPr>
          <w:rFonts w:hint="eastAsia" w:ascii="Times New Roman" w:hAnsi="Times New Roman" w:eastAsia="仿宋_GB2312" w:cs="Times New Roman"/>
          <w:kern w:val="0"/>
          <w:sz w:val="32"/>
          <w:szCs w:val="32"/>
        </w:rPr>
        <w:t>的质量和有效性，促进数字展览行业的健康发展。</w:t>
      </w:r>
    </w:p>
    <w:p w14:paraId="4EC2FE2D">
      <w:pPr>
        <w:pStyle w:val="2"/>
        <w:pageBreakBefore w:val="0"/>
        <w:kinsoku/>
        <w:overflowPunct/>
        <w:topLinePunct w:val="0"/>
        <w:bidi w:val="0"/>
        <w:snapToGrid/>
        <w:spacing w:before="0" w:after="0" w:line="560" w:lineRule="exact"/>
        <w:ind w:firstLine="640" w:firstLineChars="200"/>
        <w:textAlignment w:val="auto"/>
        <w:rPr>
          <w:rFonts w:ascii="黑体" w:hAnsi="黑体" w:eastAsia="黑体"/>
          <w:b w:val="0"/>
          <w:sz w:val="32"/>
          <w:szCs w:val="32"/>
        </w:rPr>
      </w:pPr>
      <w:r>
        <w:rPr>
          <w:rFonts w:hint="eastAsia" w:ascii="黑体" w:hAnsi="黑体" w:eastAsia="黑体"/>
          <w:b w:val="0"/>
          <w:sz w:val="32"/>
          <w:szCs w:val="32"/>
        </w:rPr>
        <w:t>四、编制过程与内容的确定</w:t>
      </w:r>
    </w:p>
    <w:p w14:paraId="1E398EB9">
      <w:pPr>
        <w:pStyle w:val="3"/>
        <w:pageBreakBefore w:val="0"/>
        <w:kinsoku/>
        <w:overflowPunct/>
        <w:topLinePunct w:val="0"/>
        <w:bidi w:val="0"/>
        <w:snapToGrid/>
        <w:spacing w:before="120" w:after="0" w:line="560" w:lineRule="exact"/>
        <w:ind w:firstLine="643" w:firstLineChars="200"/>
        <w:textAlignment w:val="auto"/>
        <w:rPr>
          <w:sz w:val="32"/>
          <w:szCs w:val="32"/>
        </w:rPr>
      </w:pPr>
      <w:bookmarkStart w:id="3" w:name="_Hlk511641331"/>
      <w:r>
        <w:rPr>
          <w:rFonts w:hint="eastAsia"/>
          <w:sz w:val="32"/>
          <w:szCs w:val="32"/>
        </w:rPr>
        <w:t>（一）编制过程</w:t>
      </w:r>
    </w:p>
    <w:bookmarkEnd w:id="3"/>
    <w:p w14:paraId="2B06F5B0">
      <w:pPr>
        <w:pageBreakBefore w:val="0"/>
        <w:widowControl/>
        <w:kinsoku/>
        <w:wordWrap w:val="0"/>
        <w:overflowPunct/>
        <w:topLinePunct w:val="0"/>
        <w:bidi w:val="0"/>
        <w:snapToGrid/>
        <w:spacing w:line="56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广东省</w:t>
      </w:r>
      <w:r>
        <w:rPr>
          <w:rFonts w:hint="eastAsia" w:ascii="Times New Roman" w:hAnsi="Times New Roman" w:eastAsia="仿宋_GB2312" w:cs="Times New Roman"/>
          <w:kern w:val="0"/>
          <w:sz w:val="32"/>
          <w:szCs w:val="32"/>
          <w:lang w:val="en-US" w:eastAsia="zh-CN"/>
        </w:rPr>
        <w:t>市场监督管理</w:t>
      </w:r>
      <w:r>
        <w:rPr>
          <w:rFonts w:hint="eastAsia" w:ascii="Times New Roman" w:hAnsi="Times New Roman" w:eastAsia="仿宋_GB2312" w:cs="Times New Roman"/>
          <w:kern w:val="0"/>
          <w:sz w:val="32"/>
          <w:szCs w:val="32"/>
        </w:rPr>
        <w:t>局于20</w:t>
      </w:r>
      <w:r>
        <w:rPr>
          <w:rFonts w:hint="eastAsia" w:ascii="Times New Roman" w:hAnsi="Times New Roman" w:eastAsia="仿宋_GB2312" w:cs="Times New Roman"/>
          <w:kern w:val="0"/>
          <w:sz w:val="32"/>
          <w:szCs w:val="32"/>
          <w:lang w:val="en-US" w:eastAsia="zh-CN"/>
        </w:rPr>
        <w:t>23</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rPr>
        <w:t>月下文批准广东省地方标准《线上数字展览（会）服务规范》立项，标准起草单位米奥兰特（广东）商务科技有限公司牵头组织成立项目编制工作组。编制工作组由</w:t>
      </w:r>
      <w:r>
        <w:rPr>
          <w:rFonts w:hint="eastAsia" w:ascii="Times New Roman" w:hAnsi="Times New Roman" w:eastAsia="仿宋_GB2312" w:cs="Times New Roman"/>
          <w:kern w:val="0"/>
          <w:sz w:val="32"/>
          <w:szCs w:val="32"/>
          <w:lang w:val="en-US" w:eastAsia="zh-CN"/>
        </w:rPr>
        <w:t>行业专家、高校学者、龙头企业代表等</w:t>
      </w:r>
      <w:r>
        <w:rPr>
          <w:rFonts w:hint="eastAsia" w:ascii="Times New Roman" w:hAnsi="Times New Roman" w:eastAsia="仿宋_GB2312" w:cs="Times New Roman"/>
          <w:kern w:val="0"/>
          <w:sz w:val="32"/>
          <w:szCs w:val="32"/>
        </w:rPr>
        <w:t>组成</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充分结合企业、院校、商协会等多方优势</w:t>
      </w:r>
      <w:r>
        <w:rPr>
          <w:rFonts w:hint="eastAsia" w:ascii="Times New Roman" w:hAnsi="Times New Roman" w:eastAsia="仿宋_GB2312" w:cs="Times New Roman"/>
          <w:kern w:val="0"/>
          <w:sz w:val="32"/>
          <w:szCs w:val="32"/>
        </w:rPr>
        <w:t>。工作组制订了标准编制工作计划，明确标准起草小组的组织形式、工作步骤、进度安排等，制定了较为详细的项目实施计划和方案。</w:t>
      </w:r>
    </w:p>
    <w:p w14:paraId="04BE0CCE">
      <w:pPr>
        <w:pageBreakBefore w:val="0"/>
        <w:widowControl/>
        <w:kinsoku/>
        <w:wordWrap w:val="0"/>
        <w:overflowPunct/>
        <w:topLinePunct w:val="0"/>
        <w:bidi w:val="0"/>
        <w:snapToGrid/>
        <w:spacing w:line="56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2023</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rPr>
        <w:t>月至20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月，工作组搜集了大量相关国家法律法规，经过充分讨论交流，在包括编制目的、编制原则、编制内容和编制要求以及开展工作的方案等方面达成共识。工作组通过搜集大量二手资料，并通过实地走访、电话调研、邮件函询等方式向政府部门、行业协会及企业深入了解我省</w:t>
      </w:r>
      <w:r>
        <w:rPr>
          <w:rFonts w:hint="eastAsia" w:ascii="Times New Roman" w:hAnsi="Times New Roman" w:eastAsia="仿宋_GB2312" w:cs="Times New Roman"/>
          <w:kern w:val="0"/>
          <w:sz w:val="32"/>
          <w:szCs w:val="32"/>
          <w:lang w:val="en-US" w:eastAsia="zh-CN"/>
        </w:rPr>
        <w:t>展览（会）</w:t>
      </w:r>
      <w:r>
        <w:rPr>
          <w:rFonts w:hint="eastAsia" w:ascii="Times New Roman" w:hAnsi="Times New Roman" w:eastAsia="仿宋_GB2312" w:cs="Times New Roman"/>
          <w:kern w:val="0"/>
          <w:sz w:val="32"/>
          <w:szCs w:val="32"/>
        </w:rPr>
        <w:t>类型和特点、行业现状、</w:t>
      </w:r>
      <w:r>
        <w:rPr>
          <w:rFonts w:hint="eastAsia" w:ascii="Times New Roman" w:hAnsi="Times New Roman" w:eastAsia="仿宋_GB2312" w:cs="Times New Roman"/>
          <w:kern w:val="0"/>
          <w:sz w:val="32"/>
          <w:szCs w:val="32"/>
          <w:lang w:val="en-US" w:eastAsia="zh-CN"/>
        </w:rPr>
        <w:t>市场</w:t>
      </w:r>
      <w:r>
        <w:rPr>
          <w:rFonts w:hint="eastAsia" w:ascii="Times New Roman" w:hAnsi="Times New Roman" w:eastAsia="仿宋_GB2312" w:cs="Times New Roman"/>
          <w:kern w:val="0"/>
          <w:sz w:val="32"/>
          <w:szCs w:val="32"/>
        </w:rPr>
        <w:t>需求，做出初步的判断，起草组初步讨论形成《线上数字展览（会）服务规范》标准工作讨论稿。</w:t>
      </w:r>
    </w:p>
    <w:p w14:paraId="5A2CEE06">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2024</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月，工作组在经过对大量资料进行综合研究分析和多次标准研讨会的基础上，形成了标准征求意见稿。</w:t>
      </w:r>
    </w:p>
    <w:p w14:paraId="11366D53">
      <w:pPr>
        <w:pStyle w:val="3"/>
        <w:pageBreakBefore w:val="0"/>
        <w:kinsoku/>
        <w:overflowPunct/>
        <w:topLinePunct w:val="0"/>
        <w:bidi w:val="0"/>
        <w:snapToGrid/>
        <w:spacing w:before="120" w:after="0" w:line="560" w:lineRule="exact"/>
        <w:ind w:firstLine="643" w:firstLineChars="200"/>
        <w:textAlignment w:val="auto"/>
        <w:rPr>
          <w:rFonts w:hint="eastAsia"/>
          <w:sz w:val="32"/>
          <w:szCs w:val="32"/>
        </w:rPr>
      </w:pPr>
      <w:r>
        <w:rPr>
          <w:rFonts w:hint="eastAsia"/>
          <w:sz w:val="32"/>
          <w:szCs w:val="32"/>
        </w:rPr>
        <w:t>（二）编制内容的确定</w:t>
      </w:r>
    </w:p>
    <w:p w14:paraId="47621955">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项目组在</w:t>
      </w:r>
      <w:r>
        <w:rPr>
          <w:rFonts w:hint="eastAsia" w:ascii="Times New Roman" w:hAnsi="Times New Roman" w:eastAsia="仿宋_GB2312" w:cs="Times New Roman"/>
          <w:kern w:val="0"/>
          <w:sz w:val="32"/>
          <w:szCs w:val="32"/>
          <w:lang w:val="en-US" w:eastAsia="zh-CN"/>
        </w:rPr>
        <w:t>整合了大量材料及</w:t>
      </w:r>
      <w:r>
        <w:rPr>
          <w:rFonts w:hint="eastAsia" w:ascii="Times New Roman" w:hAnsi="Times New Roman" w:eastAsia="仿宋_GB2312" w:cs="Times New Roman"/>
          <w:kern w:val="0"/>
          <w:sz w:val="32"/>
          <w:szCs w:val="32"/>
        </w:rPr>
        <w:t>案例分析</w:t>
      </w:r>
      <w:r>
        <w:rPr>
          <w:rFonts w:hint="eastAsia" w:ascii="Times New Roman" w:hAnsi="Times New Roman" w:eastAsia="仿宋_GB2312" w:cs="Times New Roman"/>
          <w:kern w:val="0"/>
          <w:sz w:val="32"/>
          <w:szCs w:val="32"/>
          <w:lang w:val="en-US" w:eastAsia="zh-CN"/>
        </w:rPr>
        <w:t>和</w:t>
      </w:r>
      <w:r>
        <w:rPr>
          <w:rFonts w:hint="eastAsia" w:ascii="Times New Roman" w:hAnsi="Times New Roman" w:eastAsia="仿宋_GB2312" w:cs="Times New Roman"/>
          <w:kern w:val="0"/>
          <w:sz w:val="32"/>
          <w:szCs w:val="32"/>
        </w:rPr>
        <w:t>调研的基础上，根据</w:t>
      </w:r>
      <w:r>
        <w:rPr>
          <w:rFonts w:hint="eastAsia" w:ascii="Times New Roman" w:hAnsi="Times New Roman" w:eastAsia="仿宋_GB2312" w:cs="Times New Roman"/>
          <w:kern w:val="0"/>
          <w:sz w:val="32"/>
          <w:szCs w:val="32"/>
          <w:lang w:val="en-US" w:eastAsia="zh-CN"/>
        </w:rPr>
        <w:t>数字展览</w:t>
      </w:r>
      <w:r>
        <w:rPr>
          <w:rFonts w:hint="eastAsia" w:ascii="Times New Roman" w:hAnsi="Times New Roman" w:eastAsia="仿宋_GB2312" w:cs="Times New Roman"/>
          <w:kern w:val="0"/>
          <w:sz w:val="32"/>
          <w:szCs w:val="32"/>
        </w:rPr>
        <w:t>的特点，结合专家的意见，确定了标准内容包括术语和定义、</w:t>
      </w:r>
      <w:r>
        <w:rPr>
          <w:rFonts w:hint="eastAsia" w:ascii="Times New Roman" w:hAnsi="Times New Roman" w:eastAsia="仿宋_GB2312" w:cs="Times New Roman"/>
          <w:kern w:val="0"/>
          <w:sz w:val="32"/>
          <w:szCs w:val="32"/>
          <w:lang w:val="en-US" w:eastAsia="zh-CN"/>
        </w:rPr>
        <w:t>服务流程</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服务内容及保障</w:t>
      </w:r>
      <w:r>
        <w:rPr>
          <w:rFonts w:hint="eastAsia" w:ascii="Times New Roman" w:hAnsi="Times New Roman" w:eastAsia="仿宋_GB2312" w:cs="Times New Roman"/>
          <w:kern w:val="0"/>
          <w:sz w:val="32"/>
          <w:szCs w:val="32"/>
        </w:rPr>
        <w:t>等方面。</w:t>
      </w:r>
    </w:p>
    <w:p w14:paraId="4312B93A">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内容框架如下：</w:t>
      </w:r>
    </w:p>
    <w:p w14:paraId="6444C784">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范围</w:t>
      </w:r>
    </w:p>
    <w:p w14:paraId="12DEFBD8">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规范性引用文件</w:t>
      </w:r>
    </w:p>
    <w:p w14:paraId="5F1BADF6">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术语和定义</w:t>
      </w:r>
    </w:p>
    <w:p w14:paraId="7B1D26BE">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val="en-US" w:eastAsia="zh-CN"/>
        </w:rPr>
        <w:t xml:space="preserve"> 服务流程</w:t>
      </w:r>
    </w:p>
    <w:p w14:paraId="50D26378">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 服务内容</w:t>
      </w:r>
    </w:p>
    <w:p w14:paraId="7F38E308">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 服务保障</w:t>
      </w:r>
    </w:p>
    <w:p w14:paraId="72DE6C79">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 应急预案</w:t>
      </w:r>
    </w:p>
    <w:p w14:paraId="2CFC7809">
      <w:pPr>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8 服务监督与评价</w:t>
      </w:r>
    </w:p>
    <w:p w14:paraId="0FC2FF85">
      <w:pPr>
        <w:pStyle w:val="2"/>
        <w:pageBreakBefore w:val="0"/>
        <w:kinsoku/>
        <w:overflowPunct/>
        <w:topLinePunct w:val="0"/>
        <w:bidi w:val="0"/>
        <w:snapToGrid/>
        <w:spacing w:before="0" w:after="0" w:line="560" w:lineRule="exact"/>
        <w:ind w:firstLine="640" w:firstLineChars="200"/>
        <w:textAlignment w:val="auto"/>
        <w:rPr>
          <w:rFonts w:ascii="黑体" w:hAnsi="黑体" w:eastAsia="黑体"/>
          <w:b w:val="0"/>
          <w:sz w:val="32"/>
          <w:szCs w:val="32"/>
        </w:rPr>
      </w:pPr>
      <w:r>
        <w:rPr>
          <w:rFonts w:hint="eastAsia" w:ascii="黑体" w:hAnsi="黑体" w:eastAsia="黑体"/>
          <w:b w:val="0"/>
          <w:sz w:val="32"/>
          <w:szCs w:val="32"/>
        </w:rPr>
        <w:t>五、主要内容说明</w:t>
      </w:r>
    </w:p>
    <w:p w14:paraId="47096843">
      <w:pPr>
        <w:pStyle w:val="3"/>
        <w:pageBreakBefore w:val="0"/>
        <w:kinsoku/>
        <w:overflowPunct/>
        <w:topLinePunct w:val="0"/>
        <w:bidi w:val="0"/>
        <w:snapToGrid/>
        <w:spacing w:before="120" w:after="0" w:line="560" w:lineRule="exact"/>
        <w:ind w:firstLine="643" w:firstLineChars="200"/>
        <w:textAlignment w:val="auto"/>
        <w:rPr>
          <w:rFonts w:hint="eastAsia"/>
          <w:sz w:val="32"/>
          <w:szCs w:val="32"/>
        </w:rPr>
      </w:pPr>
      <w:bookmarkStart w:id="4" w:name="_Hlk511634069"/>
      <w:r>
        <w:rPr>
          <w:rFonts w:hint="eastAsia"/>
          <w:sz w:val="32"/>
          <w:szCs w:val="32"/>
        </w:rPr>
        <w:t>（一）关于标准的适用范围</w:t>
      </w:r>
    </w:p>
    <w:bookmarkEnd w:id="4"/>
    <w:p w14:paraId="62F2BCE9">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hAnsi="Times New Roman" w:eastAsia="仿宋_GB2312" w:cs="Times New Roman"/>
          <w:kern w:val="0"/>
          <w:sz w:val="32"/>
          <w:szCs w:val="32"/>
        </w:rPr>
        <w:t>《线上数字展览（会）服务规范》</w:t>
      </w:r>
      <w:r>
        <w:rPr>
          <w:rFonts w:hint="eastAsia" w:ascii="Times New Roman" w:eastAsia="仿宋_GB2312"/>
          <w:sz w:val="32"/>
          <w:szCs w:val="32"/>
        </w:rPr>
        <w:t>适用范围</w:t>
      </w:r>
      <w:r>
        <w:rPr>
          <w:rFonts w:hint="eastAsia" w:ascii="Times New Roman" w:eastAsia="仿宋_GB2312"/>
          <w:sz w:val="32"/>
          <w:szCs w:val="32"/>
          <w:lang w:val="en-US" w:eastAsia="zh-CN"/>
        </w:rPr>
        <w:t>如下</w:t>
      </w:r>
      <w:r>
        <w:rPr>
          <w:rFonts w:hint="eastAsia" w:ascii="Times New Roman" w:eastAsia="仿宋_GB2312"/>
          <w:sz w:val="32"/>
          <w:szCs w:val="32"/>
        </w:rPr>
        <w:t>：</w:t>
      </w:r>
    </w:p>
    <w:p w14:paraId="1EBFFD74">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rPr>
        <w:t>1.展会组织者：规范适用于负责策划、组织和执行数字展览的组织者，包括行业协会、商业展览公司等。</w:t>
      </w:r>
    </w:p>
    <w:p w14:paraId="0B0D9623">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rPr>
        <w:t>2.参展企业和品牌：包括所有参与数字展览的企业和品牌，无论其规模大小或行业领域。</w:t>
      </w:r>
    </w:p>
    <w:p w14:paraId="3A3E2906">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rPr>
        <w:t>3.展会参与者：规范适用于所有参与数字展览的个体，包括观众、买家、媒体代表等。</w:t>
      </w:r>
    </w:p>
    <w:p w14:paraId="7AF3B625">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rPr>
        <w:t>4.展会服务提供商：包括为数字展览提供技术支持、物流服务、安全服务、翻译服务等的第三方供应商。</w:t>
      </w:r>
    </w:p>
    <w:p w14:paraId="7532FA69">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rPr>
        <w:t>5.展会平台运营商：规范适用于运营数字展览平台的公司，这些平台可能提供虚拟展厅、在线交流、直播等功能。</w:t>
      </w:r>
    </w:p>
    <w:p w14:paraId="03FD10CB">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lang w:val="en-US" w:eastAsia="zh-CN"/>
        </w:rPr>
        <w:t>6</w:t>
      </w:r>
      <w:r>
        <w:rPr>
          <w:rFonts w:hint="eastAsia" w:ascii="Times New Roman" w:eastAsia="仿宋_GB2312"/>
          <w:sz w:val="32"/>
          <w:szCs w:val="32"/>
        </w:rPr>
        <w:t>.展会技术支持：规范适用于数字展览中使用的各类技术，包括虚拟现实(VR)、增强现实(AR)、3D建模、直播技术等。</w:t>
      </w:r>
    </w:p>
    <w:p w14:paraId="07E1A134">
      <w:pPr>
        <w:pStyle w:val="19"/>
        <w:pageBreakBefore w:val="0"/>
        <w:kinsoku/>
        <w:overflowPunct/>
        <w:topLinePunct w:val="0"/>
        <w:bidi w:val="0"/>
        <w:snapToGrid/>
        <w:spacing w:line="560" w:lineRule="exact"/>
        <w:ind w:firstLine="646" w:firstLineChars="202"/>
        <w:textAlignment w:val="auto"/>
        <w:rPr>
          <w:rFonts w:hint="eastAsia" w:ascii="Times New Roman" w:eastAsia="仿宋_GB2312"/>
          <w:sz w:val="32"/>
          <w:szCs w:val="32"/>
        </w:rPr>
      </w:pPr>
      <w:r>
        <w:rPr>
          <w:rFonts w:hint="eastAsia" w:ascii="Times New Roman" w:eastAsia="仿宋_GB2312"/>
          <w:sz w:val="32"/>
          <w:szCs w:val="32"/>
          <w:lang w:val="en-US" w:eastAsia="zh-CN"/>
        </w:rPr>
        <w:t>明确适用范围</w:t>
      </w:r>
      <w:r>
        <w:rPr>
          <w:rFonts w:hint="eastAsia" w:ascii="Times New Roman" w:eastAsia="仿宋_GB2312"/>
          <w:sz w:val="32"/>
          <w:szCs w:val="32"/>
        </w:rPr>
        <w:t>可以确保规范更加精准地解决该行业面临的问题，同时促进数字展览的健康、有序发展。</w:t>
      </w:r>
    </w:p>
    <w:p w14:paraId="6D04363F">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（二）关于标准的属性</w:t>
      </w:r>
    </w:p>
    <w:p w14:paraId="7798E664">
      <w:pPr>
        <w:pageBreakBefore w:val="0"/>
        <w:kinsoku/>
        <w:overflowPunct/>
        <w:topLinePunct w:val="0"/>
        <w:bidi w:val="0"/>
        <w:snapToGrid/>
        <w:spacing w:line="56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本标准建议为广东省推荐性地方标准。</w:t>
      </w:r>
    </w:p>
    <w:p w14:paraId="60112034">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（三）关于条款的说明</w:t>
      </w:r>
    </w:p>
    <w:p w14:paraId="08F1BE79">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1</w:t>
      </w:r>
      <w:r>
        <w:rPr>
          <w:rFonts w:ascii="Times New Roman" w:hAnsi="Times New Roman" w:eastAsia="仿宋_GB2312"/>
          <w:kern w:val="0"/>
          <w:sz w:val="32"/>
          <w:szCs w:val="32"/>
        </w:rPr>
        <w:t>.</w:t>
      </w:r>
      <w:r>
        <w:rPr>
          <w:rFonts w:hint="eastAsia" w:ascii="Times New Roman" w:hAnsi="Times New Roman" w:eastAsia="仿宋_GB2312"/>
          <w:kern w:val="0"/>
          <w:sz w:val="32"/>
          <w:szCs w:val="32"/>
        </w:rPr>
        <w:t>术语定义</w:t>
      </w:r>
    </w:p>
    <w:p w14:paraId="26E79AD8">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本标准中“</w:t>
      </w:r>
      <w:r>
        <w:rPr>
          <w:rFonts w:hint="eastAsia" w:ascii="Times New Roman" w:hAnsi="Times New Roman" w:eastAsia="仿宋_GB2312"/>
          <w:kern w:val="0"/>
          <w:sz w:val="32"/>
          <w:szCs w:val="32"/>
          <w:lang w:val="en-US" w:eastAsia="zh-CN"/>
        </w:rPr>
        <w:t>展览（会）</w:t>
      </w:r>
      <w:r>
        <w:rPr>
          <w:rFonts w:hint="eastAsia" w:ascii="Times New Roman" w:hAnsi="Times New Roman" w:eastAsia="仿宋_GB2312"/>
          <w:kern w:val="0"/>
          <w:sz w:val="32"/>
          <w:szCs w:val="32"/>
        </w:rPr>
        <w:t>”的</w:t>
      </w:r>
      <w:r>
        <w:rPr>
          <w:rFonts w:hint="eastAsia" w:ascii="Times New Roman" w:hAnsi="Times New Roman" w:eastAsia="仿宋_GB2312"/>
          <w:kern w:val="0"/>
          <w:sz w:val="32"/>
          <w:szCs w:val="32"/>
          <w:lang w:val="en-US" w:eastAsia="zh-CN"/>
        </w:rPr>
        <w:t>相关</w:t>
      </w:r>
      <w:r>
        <w:rPr>
          <w:rFonts w:hint="eastAsia" w:ascii="Times New Roman" w:hAnsi="Times New Roman" w:eastAsia="仿宋_GB2312"/>
          <w:kern w:val="0"/>
          <w:sz w:val="32"/>
          <w:szCs w:val="32"/>
        </w:rPr>
        <w:t>定义</w:t>
      </w:r>
      <w:r>
        <w:rPr>
          <w:rFonts w:hint="eastAsia" w:ascii="Times New Roman" w:hAnsi="Times New Roman" w:eastAsia="仿宋_GB2312"/>
          <w:kern w:val="0"/>
          <w:sz w:val="32"/>
          <w:szCs w:val="32"/>
          <w:lang w:val="en-US" w:eastAsia="zh-CN"/>
        </w:rPr>
        <w:t>主要</w:t>
      </w:r>
      <w:r>
        <w:rPr>
          <w:rFonts w:hint="eastAsia" w:ascii="Times New Roman" w:hAnsi="Times New Roman" w:eastAsia="仿宋_GB2312"/>
          <w:kern w:val="0"/>
          <w:sz w:val="32"/>
          <w:szCs w:val="32"/>
        </w:rPr>
        <w:t>参考自</w:t>
      </w:r>
      <w:r>
        <w:rPr>
          <w:rFonts w:hint="eastAsia" w:ascii="Times New Roman" w:hAnsi="Times New Roman" w:eastAsia="仿宋_GB2312"/>
          <w:kern w:val="0"/>
          <w:sz w:val="32"/>
          <w:szCs w:val="32"/>
          <w:lang w:val="de-DE"/>
        </w:rPr>
        <w:t>GB/T 26165</w:t>
      </w:r>
      <w:r>
        <w:rPr>
          <w:rFonts w:hint="eastAsia" w:ascii="Times New Roman" w:hAnsi="Times New Roman" w:eastAsia="仿宋_GB2312"/>
          <w:kern w:val="0"/>
          <w:sz w:val="32"/>
          <w:szCs w:val="32"/>
          <w:lang w:val="de-DE" w:eastAsia="zh-CN"/>
        </w:rPr>
        <w:t>《</w:t>
      </w:r>
      <w:r>
        <w:rPr>
          <w:rFonts w:hint="eastAsia" w:ascii="Times New Roman" w:hAnsi="Times New Roman" w:eastAsia="仿宋_GB2312"/>
          <w:kern w:val="0"/>
          <w:sz w:val="32"/>
          <w:szCs w:val="32"/>
          <w:lang w:val="de-DE"/>
        </w:rPr>
        <w:t>经济贸易展览会</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val="de-DE"/>
        </w:rPr>
        <w:t>术语</w:t>
      </w:r>
      <w:r>
        <w:rPr>
          <w:rFonts w:hint="eastAsia" w:ascii="Times New Roman" w:hAnsi="Times New Roman" w:eastAsia="仿宋_GB2312"/>
          <w:kern w:val="0"/>
          <w:sz w:val="32"/>
          <w:szCs w:val="32"/>
          <w:lang w:val="de-DE" w:eastAsia="zh-CN"/>
        </w:rPr>
        <w:t>》</w:t>
      </w:r>
      <w:r>
        <w:rPr>
          <w:rFonts w:hint="eastAsia" w:ascii="Times New Roman" w:hAnsi="Times New Roman" w:eastAsia="仿宋_GB2312"/>
          <w:sz w:val="32"/>
          <w:szCs w:val="32"/>
        </w:rPr>
        <w:t>中给出的定义</w:t>
      </w:r>
      <w:r>
        <w:rPr>
          <w:rFonts w:hint="eastAsia" w:ascii="Times New Roman" w:hAnsi="Times New Roman" w:eastAsia="仿宋_GB2312"/>
          <w:kern w:val="0"/>
          <w:sz w:val="32"/>
          <w:szCs w:val="32"/>
        </w:rPr>
        <w:t>，即在一定地域空间和有限时间内举办的，以产品、技术、服务的展示、参观、洽谈和信息交流为主要目，有多人参与的群众性活动。</w:t>
      </w:r>
    </w:p>
    <w:p w14:paraId="4B41E303">
      <w:pPr>
        <w:pageBreakBefore w:val="0"/>
        <w:numPr>
          <w:numId w:val="0"/>
        </w:numPr>
        <w:kinsoku/>
        <w:overflowPunct/>
        <w:topLinePunct w:val="0"/>
        <w:bidi w:val="0"/>
        <w:snapToGrid/>
        <w:spacing w:line="56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2.服务流程</w:t>
      </w:r>
    </w:p>
    <w:p w14:paraId="60B11DEE">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包含展前服务、展中服务、展后服务等三部分内容，覆盖线上数字展览（会）服务的全流程</w:t>
      </w:r>
      <w:r>
        <w:rPr>
          <w:rFonts w:hint="eastAsia" w:ascii="Times New Roman" w:hAnsi="Times New Roman" w:eastAsia="仿宋_GB2312"/>
          <w:kern w:val="0"/>
          <w:sz w:val="32"/>
          <w:szCs w:val="32"/>
        </w:rPr>
        <w:t>。</w:t>
      </w:r>
    </w:p>
    <w:p w14:paraId="1FB3824C">
      <w:pPr>
        <w:pageBreakBefore w:val="0"/>
        <w:numPr>
          <w:numId w:val="0"/>
        </w:numPr>
        <w:kinsoku/>
        <w:overflowPunct/>
        <w:topLinePunct w:val="0"/>
        <w:bidi w:val="0"/>
        <w:snapToGrid/>
        <w:spacing w:line="56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3.服务内容</w:t>
      </w:r>
    </w:p>
    <w:p w14:paraId="7C571716">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en-US" w:eastAsia="zh-CN"/>
        </w:rPr>
      </w:pPr>
      <w:bookmarkStart w:id="5" w:name="_Toc60232144"/>
      <w:bookmarkStart w:id="6" w:name="_Toc60322327"/>
      <w:r>
        <w:rPr>
          <w:rFonts w:hint="eastAsia" w:ascii="Times New Roman" w:hAnsi="Times New Roman" w:eastAsia="仿宋_GB2312"/>
          <w:kern w:val="0"/>
          <w:sz w:val="32"/>
          <w:szCs w:val="32"/>
          <w:lang w:val="en-US" w:eastAsia="zh-CN"/>
        </w:rPr>
        <w:t>包含在线数字展示服务</w:t>
      </w:r>
      <w:bookmarkEnd w:id="5"/>
      <w:bookmarkEnd w:id="6"/>
      <w:r>
        <w:rPr>
          <w:rFonts w:hint="eastAsia" w:ascii="Times New Roman" w:hAnsi="Times New Roman" w:eastAsia="仿宋_GB2312"/>
          <w:kern w:val="0"/>
          <w:sz w:val="32"/>
          <w:szCs w:val="32"/>
          <w:lang w:val="en-US" w:eastAsia="zh-CN"/>
        </w:rPr>
        <w:t>、</w:t>
      </w:r>
      <w:bookmarkStart w:id="7" w:name="_Toc60322328"/>
      <w:bookmarkStart w:id="8" w:name="_Toc60232145"/>
      <w:r>
        <w:rPr>
          <w:rFonts w:hint="eastAsia" w:ascii="Times New Roman" w:hAnsi="Times New Roman" w:eastAsia="仿宋_GB2312"/>
          <w:kern w:val="0"/>
          <w:sz w:val="32"/>
          <w:szCs w:val="32"/>
          <w:lang w:val="en-US" w:eastAsia="zh-CN"/>
        </w:rPr>
        <w:t>在线数字资讯服务</w:t>
      </w:r>
      <w:bookmarkEnd w:id="7"/>
      <w:bookmarkEnd w:id="8"/>
      <w:r>
        <w:rPr>
          <w:rFonts w:hint="eastAsia" w:ascii="Times New Roman" w:hAnsi="Times New Roman" w:eastAsia="仿宋_GB2312"/>
          <w:kern w:val="0"/>
          <w:sz w:val="32"/>
          <w:szCs w:val="32"/>
          <w:lang w:val="en-US" w:eastAsia="zh-CN"/>
        </w:rPr>
        <w:t>、</w:t>
      </w:r>
      <w:bookmarkStart w:id="9" w:name="_Toc60232146"/>
      <w:bookmarkStart w:id="10" w:name="_Toc60322329"/>
      <w:r>
        <w:rPr>
          <w:rFonts w:hint="eastAsia" w:ascii="Times New Roman" w:hAnsi="Times New Roman" w:eastAsia="仿宋_GB2312"/>
          <w:kern w:val="0"/>
          <w:sz w:val="32"/>
          <w:szCs w:val="32"/>
          <w:lang w:val="en-US" w:eastAsia="zh-CN"/>
        </w:rPr>
        <w:t>在线数字撮合服务</w:t>
      </w:r>
      <w:bookmarkEnd w:id="9"/>
      <w:bookmarkEnd w:id="10"/>
      <w:r>
        <w:rPr>
          <w:rFonts w:hint="eastAsia" w:ascii="Times New Roman" w:hAnsi="Times New Roman" w:eastAsia="仿宋_GB2312"/>
          <w:kern w:val="0"/>
          <w:sz w:val="32"/>
          <w:szCs w:val="32"/>
          <w:lang w:val="en-US" w:eastAsia="zh-CN"/>
        </w:rPr>
        <w:t>、</w:t>
      </w:r>
      <w:bookmarkStart w:id="11" w:name="_Toc60232147"/>
      <w:bookmarkStart w:id="12" w:name="_Toc60322330"/>
      <w:r>
        <w:rPr>
          <w:rFonts w:hint="eastAsia" w:ascii="Times New Roman" w:hAnsi="Times New Roman" w:eastAsia="仿宋_GB2312"/>
          <w:kern w:val="0"/>
          <w:sz w:val="32"/>
          <w:szCs w:val="32"/>
          <w:lang w:val="en-US" w:eastAsia="zh-CN"/>
        </w:rPr>
        <w:t>在线数字商洽服务</w:t>
      </w:r>
      <w:bookmarkEnd w:id="11"/>
      <w:bookmarkEnd w:id="12"/>
      <w:r>
        <w:rPr>
          <w:rFonts w:hint="eastAsia" w:ascii="Times New Roman" w:hAnsi="Times New Roman" w:eastAsia="仿宋_GB2312"/>
          <w:kern w:val="0"/>
          <w:sz w:val="32"/>
          <w:szCs w:val="32"/>
          <w:lang w:val="en-US" w:eastAsia="zh-CN"/>
        </w:rPr>
        <w:t>、大数据服务等五部分内容。</w:t>
      </w:r>
    </w:p>
    <w:p w14:paraId="5F70250F">
      <w:pPr>
        <w:pageBreakBefore w:val="0"/>
        <w:numPr>
          <w:numId w:val="0"/>
        </w:numPr>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4.服务保障</w:t>
      </w:r>
    </w:p>
    <w:p w14:paraId="4D6506A4">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主要对线上数字展览（会）的平台系统进行规范，包括技术保障、平台保障、系统运维等三部分内容。</w:t>
      </w:r>
    </w:p>
    <w:p w14:paraId="6C11D6F9">
      <w:pPr>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另外，本标准还提出线上数字展览（会）</w:t>
      </w:r>
      <w:r>
        <w:rPr>
          <w:rFonts w:hint="eastAsia" w:ascii="Times New Roman" w:hAnsi="Times New Roman" w:eastAsia="仿宋_GB2312"/>
          <w:kern w:val="0"/>
          <w:sz w:val="32"/>
          <w:szCs w:val="32"/>
          <w:lang w:val="en-US" w:eastAsia="zh-CN"/>
        </w:rPr>
        <w:t>应</w:t>
      </w:r>
      <w:r>
        <w:rPr>
          <w:rFonts w:hint="eastAsia" w:ascii="Times New Roman" w:hAnsi="Times New Roman" w:eastAsia="仿宋_GB2312"/>
          <w:kern w:val="0"/>
          <w:sz w:val="32"/>
          <w:szCs w:val="32"/>
        </w:rPr>
        <w:t>设立应急预案，根据不同突发情况设立触发条件及解决方案，保证</w:t>
      </w:r>
      <w:r>
        <w:rPr>
          <w:rFonts w:hint="eastAsia" w:ascii="Times New Roman" w:hAnsi="Times New Roman" w:eastAsia="仿宋_GB2312"/>
          <w:kern w:val="0"/>
          <w:sz w:val="32"/>
          <w:szCs w:val="32"/>
          <w:lang w:val="en-US" w:eastAsia="zh-CN"/>
        </w:rPr>
        <w:t>项目</w:t>
      </w:r>
      <w:r>
        <w:rPr>
          <w:rFonts w:hint="eastAsia" w:ascii="Times New Roman" w:hAnsi="Times New Roman" w:eastAsia="仿宋_GB2312"/>
          <w:kern w:val="0"/>
          <w:sz w:val="32"/>
          <w:szCs w:val="32"/>
        </w:rPr>
        <w:t>顺利运营。</w:t>
      </w:r>
      <w:r>
        <w:rPr>
          <w:rFonts w:hint="eastAsia" w:ascii="Times New Roman" w:hAnsi="Times New Roman" w:eastAsia="仿宋_GB2312"/>
          <w:kern w:val="0"/>
          <w:sz w:val="32"/>
          <w:szCs w:val="32"/>
          <w:lang w:val="en-US" w:eastAsia="zh-CN"/>
        </w:rPr>
        <w:t>在服务监督与评价方面，应设立线上数字展览（会）监督管理人员或小组，对线上数字展览（会）整体服务进行监督。</w:t>
      </w:r>
    </w:p>
    <w:p w14:paraId="5FB070E1">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（四）与现有标准的关系</w:t>
      </w:r>
    </w:p>
    <w:p w14:paraId="70980006">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编制小组在本标准编制过程中主要从企业特性和行业特性两方面思考，参考了以下政策、法规、标准：</w:t>
      </w:r>
    </w:p>
    <w:p w14:paraId="69DADB87">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GB/T 26165  经济贸易展览会术语</w:t>
      </w:r>
    </w:p>
    <w:p w14:paraId="0DED1C4F">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GB/T 22240  信息安全技术信息系统安全等级保护定级指南</w:t>
      </w:r>
    </w:p>
    <w:p w14:paraId="08F0E8C3">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GB/T 22239  信息安全技术 网络安全等级保护基本要求</w:t>
      </w:r>
    </w:p>
    <w:p w14:paraId="1496E078">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GB/T 28448  信息安全技术 网络安全等级保护测评要求</w:t>
      </w:r>
    </w:p>
    <w:p w14:paraId="2C0F4453">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ISO/IEC 27001  信息安全管理标准</w:t>
      </w:r>
    </w:p>
    <w:p w14:paraId="7B08CF06">
      <w:pPr>
        <w:pageBreakBefore w:val="0"/>
        <w:kinsoku/>
        <w:overflowPunct/>
        <w:topLinePunct w:val="0"/>
        <w:bidi w:val="0"/>
        <w:snapToGrid/>
        <w:spacing w:line="560" w:lineRule="exact"/>
        <w:ind w:firstLine="640" w:firstLineChars="200"/>
        <w:textAlignment w:val="auto"/>
        <w:rPr>
          <w:rFonts w:hint="eastAsia" w:ascii="Times New Roman" w:hAnsi="Times New Roman" w:eastAsia="仿宋_GB2312"/>
          <w:kern w:val="0"/>
          <w:sz w:val="32"/>
          <w:szCs w:val="32"/>
          <w:lang w:val="de-DE"/>
        </w:rPr>
      </w:pPr>
      <w:r>
        <w:rPr>
          <w:rFonts w:hint="eastAsia" w:ascii="Times New Roman" w:hAnsi="Times New Roman" w:eastAsia="仿宋_GB2312"/>
          <w:kern w:val="0"/>
          <w:sz w:val="32"/>
          <w:szCs w:val="32"/>
          <w:lang w:val="de-DE"/>
        </w:rPr>
        <w:t>DJCP  信息系统安全等级保护认证</w:t>
      </w:r>
    </w:p>
    <w:p w14:paraId="722BDDBE">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本标准具有与现有相关标准的一致性和连贯性，既是对现有标准的补充也是对未来一段时间内</w:t>
      </w:r>
      <w:r>
        <w:rPr>
          <w:rFonts w:hint="eastAsia" w:ascii="Times New Roman" w:hAnsi="Times New Roman" w:eastAsia="仿宋_GB2312"/>
          <w:kern w:val="0"/>
          <w:sz w:val="32"/>
          <w:szCs w:val="32"/>
          <w:lang w:val="en-US" w:eastAsia="zh-CN"/>
        </w:rPr>
        <w:t>线上数字展览（会）</w:t>
      </w:r>
      <w:r>
        <w:rPr>
          <w:rFonts w:hint="eastAsia" w:ascii="Times New Roman" w:hAnsi="Times New Roman" w:eastAsia="仿宋_GB2312"/>
          <w:kern w:val="0"/>
          <w:sz w:val="32"/>
          <w:szCs w:val="32"/>
        </w:rPr>
        <w:t>相关标准制定的引领。</w:t>
      </w:r>
    </w:p>
    <w:p w14:paraId="00F82E79">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（五）贯彻标准的要求和措施建议</w:t>
      </w:r>
    </w:p>
    <w:p w14:paraId="0AEA0A7C">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建议此标准作为广东省地方标准推荐标准执行。</w:t>
      </w:r>
    </w:p>
    <w:p w14:paraId="441287CE">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（六）废止现有有关标准的建议</w:t>
      </w:r>
    </w:p>
    <w:p w14:paraId="32ED84F2">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广东省暂无相关标准。</w:t>
      </w:r>
    </w:p>
    <w:p w14:paraId="1991722B">
      <w:pPr>
        <w:pStyle w:val="3"/>
        <w:pageBreakBefore w:val="0"/>
        <w:kinsoku/>
        <w:overflowPunct/>
        <w:topLinePunct w:val="0"/>
        <w:bidi w:val="0"/>
        <w:snapToGrid/>
        <w:spacing w:before="120" w:after="0" w:line="560" w:lineRule="exact"/>
        <w:ind w:firstLine="643" w:firstLineChars="200"/>
        <w:textAlignment w:val="auto"/>
        <w:rPr>
          <w:sz w:val="32"/>
          <w:szCs w:val="32"/>
        </w:rPr>
      </w:pPr>
      <w:r>
        <w:rPr>
          <w:rFonts w:hint="eastAsia"/>
          <w:sz w:val="32"/>
          <w:szCs w:val="32"/>
        </w:rPr>
        <w:t>（七）其他情况的说明</w:t>
      </w:r>
    </w:p>
    <w:p w14:paraId="3E7DA5B4">
      <w:pPr>
        <w:pageBreakBefore w:val="0"/>
        <w:kinsoku/>
        <w:overflowPunct/>
        <w:topLinePunct w:val="0"/>
        <w:bidi w:val="0"/>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本标准需根据实际情况进行修订和更新以适应新发展要求。</w:t>
      </w:r>
    </w:p>
    <w:p w14:paraId="0D993187">
      <w:pPr>
        <w:pageBreakBefore w:val="0"/>
        <w:kinsoku/>
        <w:overflowPunct/>
        <w:topLinePunct w:val="0"/>
        <w:bidi w:val="0"/>
        <w:snapToGrid/>
        <w:spacing w:line="560" w:lineRule="exact"/>
        <w:textAlignment w:val="auto"/>
        <w:rPr>
          <w:rFonts w:ascii="宋体" w:hAnsi="宋体" w:eastAsia="宋体" w:cs="Times New Roman"/>
          <w:sz w:val="32"/>
          <w:szCs w:val="32"/>
        </w:rPr>
      </w:pPr>
    </w:p>
    <w:p w14:paraId="2EDB7CB8">
      <w:pPr>
        <w:pageBreakBefore w:val="0"/>
        <w:kinsoku/>
        <w:overflowPunct/>
        <w:topLinePunct w:val="0"/>
        <w:bidi w:val="0"/>
        <w:snapToGrid/>
        <w:spacing w:line="560" w:lineRule="exact"/>
        <w:textAlignment w:val="auto"/>
        <w:rPr>
          <w:rFonts w:ascii="宋体" w:hAnsi="宋体" w:eastAsia="宋体" w:cs="Times New Roman"/>
          <w:sz w:val="32"/>
          <w:szCs w:val="32"/>
        </w:rPr>
      </w:pPr>
    </w:p>
    <w:p w14:paraId="68AC6FDA">
      <w:pPr>
        <w:pageBreakBefore w:val="0"/>
        <w:kinsoku/>
        <w:overflowPunct/>
        <w:topLinePunct w:val="0"/>
        <w:bidi w:val="0"/>
        <w:snapToGrid/>
        <w:spacing w:line="560" w:lineRule="exact"/>
        <w:jc w:val="right"/>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《线上数字展览（会）服务规范》地方标准编制工作组</w:t>
      </w:r>
    </w:p>
    <w:p w14:paraId="7D397F86">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2025年2月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B83C7E-05D2-4452-AE2F-0631EC1A7E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5DA7DF03-5945-4D3A-8BEF-A9147B197DE3}"/>
  </w:font>
  <w:font w:name="仿宋_GB2312">
    <w:panose1 w:val="02010609030101010101"/>
    <w:charset w:val="86"/>
    <w:family w:val="modern"/>
    <w:pitch w:val="default"/>
    <w:sig w:usb0="00000001" w:usb1="080E0000" w:usb2="00000000" w:usb3="00000000" w:csb0="00040000" w:csb1="00000000"/>
    <w:embedRegular r:id="rId3" w:fontKey="{A88FF22C-7610-46EB-8847-176271829F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531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7E364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7E364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2"/>
      <w:suff w:val="nothing"/>
      <w:lvlText w:val="%1　"/>
      <w:lvlJc w:val="left"/>
      <w:pPr>
        <w:ind w:left="84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YTIwYjk4ZWUzOWI3YTdlZmQxNTNhOWQ1Yjg2MzEifQ=="/>
  </w:docVars>
  <w:rsids>
    <w:rsidRoot w:val="0025683C"/>
    <w:rsid w:val="000053A3"/>
    <w:rsid w:val="000215FB"/>
    <w:rsid w:val="00022BE7"/>
    <w:rsid w:val="00025838"/>
    <w:rsid w:val="00030B8D"/>
    <w:rsid w:val="00032381"/>
    <w:rsid w:val="00034F1D"/>
    <w:rsid w:val="00036BAC"/>
    <w:rsid w:val="00037BD5"/>
    <w:rsid w:val="0005049C"/>
    <w:rsid w:val="00052A18"/>
    <w:rsid w:val="00053F3B"/>
    <w:rsid w:val="00060573"/>
    <w:rsid w:val="00075118"/>
    <w:rsid w:val="000762FD"/>
    <w:rsid w:val="000A610A"/>
    <w:rsid w:val="000C6528"/>
    <w:rsid w:val="000E484F"/>
    <w:rsid w:val="000E5C5C"/>
    <w:rsid w:val="000E7010"/>
    <w:rsid w:val="000F1F97"/>
    <w:rsid w:val="000F522E"/>
    <w:rsid w:val="00104187"/>
    <w:rsid w:val="001048FA"/>
    <w:rsid w:val="001110BB"/>
    <w:rsid w:val="00111FCA"/>
    <w:rsid w:val="00116EE3"/>
    <w:rsid w:val="0012065F"/>
    <w:rsid w:val="001206DE"/>
    <w:rsid w:val="001306E4"/>
    <w:rsid w:val="00130DD9"/>
    <w:rsid w:val="00147810"/>
    <w:rsid w:val="001528E1"/>
    <w:rsid w:val="00153A14"/>
    <w:rsid w:val="00161E58"/>
    <w:rsid w:val="00165364"/>
    <w:rsid w:val="00175113"/>
    <w:rsid w:val="00175802"/>
    <w:rsid w:val="00180392"/>
    <w:rsid w:val="00180911"/>
    <w:rsid w:val="00192A08"/>
    <w:rsid w:val="00197041"/>
    <w:rsid w:val="001A070C"/>
    <w:rsid w:val="001A79A2"/>
    <w:rsid w:val="001B3EB2"/>
    <w:rsid w:val="001B6BAD"/>
    <w:rsid w:val="001C0234"/>
    <w:rsid w:val="001C3E26"/>
    <w:rsid w:val="001C45A1"/>
    <w:rsid w:val="001C7E8A"/>
    <w:rsid w:val="001F3C95"/>
    <w:rsid w:val="00213989"/>
    <w:rsid w:val="00214E93"/>
    <w:rsid w:val="002163ED"/>
    <w:rsid w:val="00221B0D"/>
    <w:rsid w:val="00241A5C"/>
    <w:rsid w:val="0025683C"/>
    <w:rsid w:val="002740B4"/>
    <w:rsid w:val="00275933"/>
    <w:rsid w:val="0027779D"/>
    <w:rsid w:val="002942E9"/>
    <w:rsid w:val="002B2F9B"/>
    <w:rsid w:val="002C2E5E"/>
    <w:rsid w:val="002C3F3A"/>
    <w:rsid w:val="002C69D2"/>
    <w:rsid w:val="002D5900"/>
    <w:rsid w:val="002E4587"/>
    <w:rsid w:val="002E7895"/>
    <w:rsid w:val="002F3D91"/>
    <w:rsid w:val="002F65D5"/>
    <w:rsid w:val="00305CAC"/>
    <w:rsid w:val="00331778"/>
    <w:rsid w:val="00345770"/>
    <w:rsid w:val="003520F1"/>
    <w:rsid w:val="00354B65"/>
    <w:rsid w:val="00361E3C"/>
    <w:rsid w:val="003640C3"/>
    <w:rsid w:val="0037247D"/>
    <w:rsid w:val="00373C40"/>
    <w:rsid w:val="0037591D"/>
    <w:rsid w:val="00392050"/>
    <w:rsid w:val="003A06B0"/>
    <w:rsid w:val="003B0D6E"/>
    <w:rsid w:val="003B1038"/>
    <w:rsid w:val="003B17AF"/>
    <w:rsid w:val="003B4917"/>
    <w:rsid w:val="003C11BE"/>
    <w:rsid w:val="003C74BB"/>
    <w:rsid w:val="003C7627"/>
    <w:rsid w:val="003D0378"/>
    <w:rsid w:val="003D3B7F"/>
    <w:rsid w:val="003D3F6A"/>
    <w:rsid w:val="003E53F6"/>
    <w:rsid w:val="004035FB"/>
    <w:rsid w:val="00411795"/>
    <w:rsid w:val="004129FA"/>
    <w:rsid w:val="00414C83"/>
    <w:rsid w:val="00434425"/>
    <w:rsid w:val="0044419A"/>
    <w:rsid w:val="0047068C"/>
    <w:rsid w:val="004800EB"/>
    <w:rsid w:val="00484550"/>
    <w:rsid w:val="004912A0"/>
    <w:rsid w:val="0049198E"/>
    <w:rsid w:val="004A02D1"/>
    <w:rsid w:val="004A5593"/>
    <w:rsid w:val="004D5435"/>
    <w:rsid w:val="004D6E61"/>
    <w:rsid w:val="004D7117"/>
    <w:rsid w:val="004F0E63"/>
    <w:rsid w:val="0050064C"/>
    <w:rsid w:val="00521A21"/>
    <w:rsid w:val="00525EB4"/>
    <w:rsid w:val="005449C7"/>
    <w:rsid w:val="005549E2"/>
    <w:rsid w:val="0058114A"/>
    <w:rsid w:val="00581B8C"/>
    <w:rsid w:val="00583B5C"/>
    <w:rsid w:val="00587761"/>
    <w:rsid w:val="005A7953"/>
    <w:rsid w:val="005B3777"/>
    <w:rsid w:val="005C6CB5"/>
    <w:rsid w:val="005C78A1"/>
    <w:rsid w:val="0060324A"/>
    <w:rsid w:val="00630E74"/>
    <w:rsid w:val="006336BC"/>
    <w:rsid w:val="00633F45"/>
    <w:rsid w:val="006371D8"/>
    <w:rsid w:val="006421C4"/>
    <w:rsid w:val="00644109"/>
    <w:rsid w:val="00651960"/>
    <w:rsid w:val="00655CA3"/>
    <w:rsid w:val="006648B4"/>
    <w:rsid w:val="00670810"/>
    <w:rsid w:val="006730EA"/>
    <w:rsid w:val="0067348A"/>
    <w:rsid w:val="0067755E"/>
    <w:rsid w:val="006805FF"/>
    <w:rsid w:val="0068315C"/>
    <w:rsid w:val="00696625"/>
    <w:rsid w:val="006B1E67"/>
    <w:rsid w:val="006B55D8"/>
    <w:rsid w:val="006C233B"/>
    <w:rsid w:val="006C2DDA"/>
    <w:rsid w:val="006D40A4"/>
    <w:rsid w:val="006D4278"/>
    <w:rsid w:val="006E2F25"/>
    <w:rsid w:val="006E6C1C"/>
    <w:rsid w:val="006F51CA"/>
    <w:rsid w:val="006F5FD3"/>
    <w:rsid w:val="00716CF9"/>
    <w:rsid w:val="00722BC0"/>
    <w:rsid w:val="00724B39"/>
    <w:rsid w:val="00725E54"/>
    <w:rsid w:val="00743052"/>
    <w:rsid w:val="007631CA"/>
    <w:rsid w:val="007652D5"/>
    <w:rsid w:val="00770F4D"/>
    <w:rsid w:val="00771571"/>
    <w:rsid w:val="00772E30"/>
    <w:rsid w:val="0077711A"/>
    <w:rsid w:val="007C6627"/>
    <w:rsid w:val="007C7A38"/>
    <w:rsid w:val="007C7B0D"/>
    <w:rsid w:val="007C7DBE"/>
    <w:rsid w:val="007D75E7"/>
    <w:rsid w:val="007E369C"/>
    <w:rsid w:val="008057C8"/>
    <w:rsid w:val="008058C2"/>
    <w:rsid w:val="00816835"/>
    <w:rsid w:val="00823EAC"/>
    <w:rsid w:val="008455EE"/>
    <w:rsid w:val="008543F3"/>
    <w:rsid w:val="008953AD"/>
    <w:rsid w:val="00895EC2"/>
    <w:rsid w:val="008A61AD"/>
    <w:rsid w:val="008B7D4E"/>
    <w:rsid w:val="009000AB"/>
    <w:rsid w:val="009065E4"/>
    <w:rsid w:val="009106CD"/>
    <w:rsid w:val="00936AA0"/>
    <w:rsid w:val="0094714A"/>
    <w:rsid w:val="00953EB7"/>
    <w:rsid w:val="0096118E"/>
    <w:rsid w:val="0096433F"/>
    <w:rsid w:val="009656BA"/>
    <w:rsid w:val="00966818"/>
    <w:rsid w:val="0097035B"/>
    <w:rsid w:val="00980861"/>
    <w:rsid w:val="00987EC5"/>
    <w:rsid w:val="00992C6C"/>
    <w:rsid w:val="009A3296"/>
    <w:rsid w:val="009C11D0"/>
    <w:rsid w:val="009C3F1F"/>
    <w:rsid w:val="009D380A"/>
    <w:rsid w:val="009E10AC"/>
    <w:rsid w:val="009F2512"/>
    <w:rsid w:val="009F4B8B"/>
    <w:rsid w:val="00A0411C"/>
    <w:rsid w:val="00A167F0"/>
    <w:rsid w:val="00A23763"/>
    <w:rsid w:val="00A256F4"/>
    <w:rsid w:val="00A52794"/>
    <w:rsid w:val="00A562EF"/>
    <w:rsid w:val="00A73DC0"/>
    <w:rsid w:val="00A809D2"/>
    <w:rsid w:val="00A87F01"/>
    <w:rsid w:val="00A9700F"/>
    <w:rsid w:val="00AA3948"/>
    <w:rsid w:val="00AB637A"/>
    <w:rsid w:val="00AC0053"/>
    <w:rsid w:val="00AC2AE0"/>
    <w:rsid w:val="00AC7A34"/>
    <w:rsid w:val="00AE4B4F"/>
    <w:rsid w:val="00AE76FD"/>
    <w:rsid w:val="00AF77D7"/>
    <w:rsid w:val="00B0238B"/>
    <w:rsid w:val="00B16385"/>
    <w:rsid w:val="00B213CF"/>
    <w:rsid w:val="00B21AFC"/>
    <w:rsid w:val="00B30B5B"/>
    <w:rsid w:val="00B31687"/>
    <w:rsid w:val="00B516D7"/>
    <w:rsid w:val="00B60639"/>
    <w:rsid w:val="00B62133"/>
    <w:rsid w:val="00B645D0"/>
    <w:rsid w:val="00B80F43"/>
    <w:rsid w:val="00B8152E"/>
    <w:rsid w:val="00BA200B"/>
    <w:rsid w:val="00BA277D"/>
    <w:rsid w:val="00BD19A5"/>
    <w:rsid w:val="00BD60F7"/>
    <w:rsid w:val="00BE6626"/>
    <w:rsid w:val="00BF787F"/>
    <w:rsid w:val="00C544AC"/>
    <w:rsid w:val="00C5684C"/>
    <w:rsid w:val="00C61357"/>
    <w:rsid w:val="00C65F91"/>
    <w:rsid w:val="00C71355"/>
    <w:rsid w:val="00C772DB"/>
    <w:rsid w:val="00C827C6"/>
    <w:rsid w:val="00C9154F"/>
    <w:rsid w:val="00C93ADD"/>
    <w:rsid w:val="00C95268"/>
    <w:rsid w:val="00CB02D5"/>
    <w:rsid w:val="00CC2FB9"/>
    <w:rsid w:val="00CC7FBC"/>
    <w:rsid w:val="00CD41C4"/>
    <w:rsid w:val="00CD792D"/>
    <w:rsid w:val="00CD7B9A"/>
    <w:rsid w:val="00CD7E27"/>
    <w:rsid w:val="00CF29A4"/>
    <w:rsid w:val="00CF5435"/>
    <w:rsid w:val="00CF7D02"/>
    <w:rsid w:val="00D006E0"/>
    <w:rsid w:val="00D07F4B"/>
    <w:rsid w:val="00D117E9"/>
    <w:rsid w:val="00D1631C"/>
    <w:rsid w:val="00D22CE6"/>
    <w:rsid w:val="00D26053"/>
    <w:rsid w:val="00D40838"/>
    <w:rsid w:val="00D52421"/>
    <w:rsid w:val="00D7277B"/>
    <w:rsid w:val="00D8395F"/>
    <w:rsid w:val="00D94897"/>
    <w:rsid w:val="00DA42A7"/>
    <w:rsid w:val="00DB3088"/>
    <w:rsid w:val="00DB30EF"/>
    <w:rsid w:val="00DC6AD4"/>
    <w:rsid w:val="00DD12FA"/>
    <w:rsid w:val="00DD1A3D"/>
    <w:rsid w:val="00DD3DE2"/>
    <w:rsid w:val="00DE3459"/>
    <w:rsid w:val="00DF1F96"/>
    <w:rsid w:val="00DF2761"/>
    <w:rsid w:val="00E13DE7"/>
    <w:rsid w:val="00E2003F"/>
    <w:rsid w:val="00E21E59"/>
    <w:rsid w:val="00E36469"/>
    <w:rsid w:val="00E379A9"/>
    <w:rsid w:val="00E37D8A"/>
    <w:rsid w:val="00E40069"/>
    <w:rsid w:val="00E4313A"/>
    <w:rsid w:val="00E4464F"/>
    <w:rsid w:val="00E45657"/>
    <w:rsid w:val="00E55FB0"/>
    <w:rsid w:val="00E61BF3"/>
    <w:rsid w:val="00E63FEC"/>
    <w:rsid w:val="00E70554"/>
    <w:rsid w:val="00E80A7D"/>
    <w:rsid w:val="00E86D95"/>
    <w:rsid w:val="00E944C4"/>
    <w:rsid w:val="00EC16FA"/>
    <w:rsid w:val="00EC1A95"/>
    <w:rsid w:val="00EC2F58"/>
    <w:rsid w:val="00EE3C23"/>
    <w:rsid w:val="00EE5A65"/>
    <w:rsid w:val="00EF5EC7"/>
    <w:rsid w:val="00F07F1B"/>
    <w:rsid w:val="00F11D48"/>
    <w:rsid w:val="00F3138D"/>
    <w:rsid w:val="00F43F95"/>
    <w:rsid w:val="00F502B8"/>
    <w:rsid w:val="00F81056"/>
    <w:rsid w:val="00F905B8"/>
    <w:rsid w:val="00F91499"/>
    <w:rsid w:val="00F95B9A"/>
    <w:rsid w:val="00F9613D"/>
    <w:rsid w:val="00FA5A16"/>
    <w:rsid w:val="00FA7BAE"/>
    <w:rsid w:val="00FE0A95"/>
    <w:rsid w:val="00FE3558"/>
    <w:rsid w:val="00FE46A6"/>
    <w:rsid w:val="00FF4CAD"/>
    <w:rsid w:val="00FF7438"/>
    <w:rsid w:val="038F3A3C"/>
    <w:rsid w:val="053D50D3"/>
    <w:rsid w:val="09DB7548"/>
    <w:rsid w:val="0A6F565E"/>
    <w:rsid w:val="0A945A40"/>
    <w:rsid w:val="110A2A88"/>
    <w:rsid w:val="113536E8"/>
    <w:rsid w:val="128F020D"/>
    <w:rsid w:val="16783AEC"/>
    <w:rsid w:val="16A01BF1"/>
    <w:rsid w:val="19427712"/>
    <w:rsid w:val="195E6FCA"/>
    <w:rsid w:val="1ECB6490"/>
    <w:rsid w:val="21E5411E"/>
    <w:rsid w:val="22EC1B10"/>
    <w:rsid w:val="271819D4"/>
    <w:rsid w:val="277D4468"/>
    <w:rsid w:val="27E22CAD"/>
    <w:rsid w:val="362C24D2"/>
    <w:rsid w:val="379811C0"/>
    <w:rsid w:val="3A1C2C12"/>
    <w:rsid w:val="3AFC4F2B"/>
    <w:rsid w:val="3CE63387"/>
    <w:rsid w:val="3D9372DA"/>
    <w:rsid w:val="3EC219F8"/>
    <w:rsid w:val="3F6719AF"/>
    <w:rsid w:val="44114AB5"/>
    <w:rsid w:val="49FD5DC2"/>
    <w:rsid w:val="4A165B3A"/>
    <w:rsid w:val="501A25E1"/>
    <w:rsid w:val="587137CD"/>
    <w:rsid w:val="5ABA07A1"/>
    <w:rsid w:val="5AFC6067"/>
    <w:rsid w:val="5C1604AD"/>
    <w:rsid w:val="60F13D52"/>
    <w:rsid w:val="640B731B"/>
    <w:rsid w:val="64596748"/>
    <w:rsid w:val="6F0D2199"/>
    <w:rsid w:val="72FF6B95"/>
    <w:rsid w:val="7693762C"/>
    <w:rsid w:val="7A0B48B7"/>
    <w:rsid w:val="7DAE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unhideWhenUsed/>
    <w:uiPriority w:val="1"/>
  </w:style>
  <w:style w:type="table" w:default="1" w:styleId="11">
    <w:name w:val="Normal Table"/>
    <w:autoRedefine/>
    <w:semiHidden/>
    <w:unhideWhenUsed/>
    <w:uiPriority w:val="99"/>
    <w:tblPr>
      <w:tblCellMar>
        <w:top w:w="0" w:type="dxa"/>
        <w:left w:w="108" w:type="dxa"/>
        <w:bottom w:w="0" w:type="dxa"/>
        <w:right w:w="108" w:type="dxa"/>
      </w:tblCellMar>
    </w:tblPr>
  </w:style>
  <w:style w:type="paragraph" w:styleId="6">
    <w:name w:val="Date"/>
    <w:basedOn w:val="1"/>
    <w:next w:val="1"/>
    <w:link w:val="18"/>
    <w:autoRedefine/>
    <w:semiHidden/>
    <w:unhideWhenUsed/>
    <w:qFormat/>
    <w:uiPriority w:val="99"/>
    <w:pPr>
      <w:ind w:left="100" w:leftChars="2500"/>
    </w:pPr>
  </w:style>
  <w:style w:type="paragraph" w:styleId="7">
    <w:name w:val="footer"/>
    <w:basedOn w:val="1"/>
    <w:link w:val="16"/>
    <w:autoRedefine/>
    <w:unhideWhenUsed/>
    <w:uiPriority w:val="99"/>
    <w:pPr>
      <w:tabs>
        <w:tab w:val="center" w:pos="4153"/>
        <w:tab w:val="right" w:pos="8306"/>
      </w:tabs>
      <w:snapToGrid w:val="0"/>
      <w:jc w:val="left"/>
    </w:pPr>
    <w:rPr>
      <w:sz w:val="18"/>
      <w:szCs w:val="18"/>
    </w:rPr>
  </w:style>
  <w:style w:type="paragraph" w:styleId="8">
    <w:name w:val="header"/>
    <w:basedOn w:val="1"/>
    <w:link w:val="15"/>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autoRedefine/>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qFormat/>
    <w:uiPriority w:val="0"/>
    <w:pPr>
      <w:spacing w:beforeAutospacing="1" w:afterAutospacing="1"/>
      <w:jc w:val="left"/>
    </w:pPr>
    <w:rPr>
      <w:rFonts w:ascii="Times New Roman" w:hAnsi="Times New Roman" w:eastAsia="宋体" w:cs="Times New Roman"/>
      <w:kern w:val="0"/>
      <w:sz w:val="24"/>
      <w:szCs w:val="24"/>
    </w:rPr>
  </w:style>
  <w:style w:type="character" w:styleId="13">
    <w:name w:val="Strong"/>
    <w:basedOn w:val="12"/>
    <w:autoRedefine/>
    <w:qFormat/>
    <w:uiPriority w:val="22"/>
    <w:rPr>
      <w:b/>
    </w:rPr>
  </w:style>
  <w:style w:type="character" w:styleId="14">
    <w:name w:val="Hyperlink"/>
    <w:basedOn w:val="12"/>
    <w:autoRedefine/>
    <w:unhideWhenUsed/>
    <w:uiPriority w:val="99"/>
    <w:rPr>
      <w:color w:val="0000FF"/>
      <w:u w:val="single"/>
    </w:rPr>
  </w:style>
  <w:style w:type="character" w:customStyle="1" w:styleId="15">
    <w:name w:val="页眉 字符"/>
    <w:basedOn w:val="12"/>
    <w:link w:val="8"/>
    <w:autoRedefine/>
    <w:uiPriority w:val="99"/>
    <w:rPr>
      <w:sz w:val="18"/>
      <w:szCs w:val="18"/>
    </w:rPr>
  </w:style>
  <w:style w:type="character" w:customStyle="1" w:styleId="16">
    <w:name w:val="页脚 字符"/>
    <w:basedOn w:val="12"/>
    <w:link w:val="7"/>
    <w:autoRedefine/>
    <w:uiPriority w:val="99"/>
    <w:rPr>
      <w:sz w:val="18"/>
      <w:szCs w:val="18"/>
    </w:rPr>
  </w:style>
  <w:style w:type="character" w:customStyle="1" w:styleId="17">
    <w:name w:val="HTML 预设格式 字符"/>
    <w:basedOn w:val="12"/>
    <w:link w:val="9"/>
    <w:autoRedefine/>
    <w:semiHidden/>
    <w:uiPriority w:val="99"/>
    <w:rPr>
      <w:rFonts w:ascii="宋体" w:hAnsi="宋体" w:eastAsia="宋体" w:cs="宋体"/>
      <w:kern w:val="0"/>
      <w:sz w:val="24"/>
      <w:szCs w:val="24"/>
    </w:rPr>
  </w:style>
  <w:style w:type="character" w:customStyle="1" w:styleId="18">
    <w:name w:val="日期 字符"/>
    <w:basedOn w:val="12"/>
    <w:link w:val="6"/>
    <w:autoRedefine/>
    <w:semiHidden/>
    <w:qFormat/>
    <w:uiPriority w:val="99"/>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basedOn w:val="12"/>
    <w:link w:val="19"/>
    <w:autoRedefine/>
    <w:qFormat/>
    <w:uiPriority w:val="0"/>
    <w:rPr>
      <w:rFonts w:ascii="宋体" w:hAnsi="Times New Roman" w:eastAsia="宋体" w:cs="Times New Roman"/>
      <w:kern w:val="0"/>
      <w:szCs w:val="20"/>
    </w:rPr>
  </w:style>
  <w:style w:type="paragraph" w:customStyle="1" w:styleId="21">
    <w:name w:val="一级条标题"/>
    <w:next w:val="19"/>
    <w:autoRedefine/>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2">
    <w:name w:val="章标题"/>
    <w:next w:val="19"/>
    <w:autoRedefine/>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3">
    <w:name w:val="二级条标题"/>
    <w:basedOn w:val="21"/>
    <w:next w:val="19"/>
    <w:autoRedefine/>
    <w:qFormat/>
    <w:uiPriority w:val="0"/>
    <w:pPr>
      <w:numPr>
        <w:ilvl w:val="2"/>
      </w:numPr>
      <w:spacing w:before="50" w:after="50"/>
      <w:outlineLvl w:val="3"/>
    </w:pPr>
  </w:style>
  <w:style w:type="paragraph" w:customStyle="1" w:styleId="24">
    <w:name w:val="三级条标题"/>
    <w:basedOn w:val="23"/>
    <w:next w:val="19"/>
    <w:autoRedefine/>
    <w:qFormat/>
    <w:uiPriority w:val="0"/>
    <w:pPr>
      <w:numPr>
        <w:ilvl w:val="3"/>
      </w:numPr>
      <w:outlineLvl w:val="4"/>
    </w:pPr>
  </w:style>
  <w:style w:type="paragraph" w:customStyle="1" w:styleId="25">
    <w:name w:val="四级条标题"/>
    <w:basedOn w:val="24"/>
    <w:next w:val="19"/>
    <w:autoRedefine/>
    <w:uiPriority w:val="0"/>
    <w:pPr>
      <w:numPr>
        <w:ilvl w:val="4"/>
      </w:numPr>
      <w:outlineLvl w:val="5"/>
    </w:pPr>
  </w:style>
  <w:style w:type="paragraph" w:customStyle="1" w:styleId="26">
    <w:name w:val="五级条标题"/>
    <w:basedOn w:val="25"/>
    <w:next w:val="19"/>
    <w:autoRedefine/>
    <w:uiPriority w:val="0"/>
    <w:pPr>
      <w:numPr>
        <w:ilvl w:val="5"/>
      </w:numPr>
      <w:outlineLvl w:val="6"/>
    </w:pPr>
  </w:style>
  <w:style w:type="character" w:customStyle="1" w:styleId="27">
    <w:name w:val="标题 1 字符"/>
    <w:basedOn w:val="12"/>
    <w:link w:val="2"/>
    <w:autoRedefine/>
    <w:qFormat/>
    <w:uiPriority w:val="9"/>
    <w:rPr>
      <w:b/>
      <w:bCs/>
      <w:kern w:val="44"/>
      <w:sz w:val="44"/>
      <w:szCs w:val="44"/>
    </w:rPr>
  </w:style>
  <w:style w:type="character" w:customStyle="1" w:styleId="28">
    <w:name w:val="标题 2 字符"/>
    <w:basedOn w:val="12"/>
    <w:link w:val="3"/>
    <w:autoRedefine/>
    <w:uiPriority w:val="9"/>
    <w:rPr>
      <w:rFonts w:asciiTheme="majorHAnsi" w:hAnsiTheme="majorHAnsi" w:eastAsiaTheme="majorEastAsia" w:cstheme="majorBidi"/>
      <w:b/>
      <w:bCs/>
      <w:sz w:val="32"/>
      <w:szCs w:val="32"/>
    </w:rPr>
  </w:style>
  <w:style w:type="paragraph" w:customStyle="1" w:styleId="2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B950A-CA95-4996-99A6-FA1024FE7755}">
  <ds:schemaRefs/>
</ds:datastoreItem>
</file>

<file path=docProps/app.xml><?xml version="1.0" encoding="utf-8"?>
<Properties xmlns="http://schemas.openxmlformats.org/officeDocument/2006/extended-properties" xmlns:vt="http://schemas.openxmlformats.org/officeDocument/2006/docPropsVTypes">
  <Template>Normal</Template>
  <Pages>11</Pages>
  <Words>4797</Words>
  <Characters>4933</Characters>
  <Lines>42</Lines>
  <Paragraphs>11</Paragraphs>
  <TotalTime>65</TotalTime>
  <ScaleCrop>false</ScaleCrop>
  <LinksUpToDate>false</LinksUpToDate>
  <CharactersWithSpaces>4990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2018-04-16T01:03:00Z</dcterms:created>
  <dc:creator>by</dc:creator>
  <cp:lastModifiedBy>陈晓凤</cp:lastModifiedBy>
  <cp:lastPrinted>2024-08-21T03:37:00Z</cp:lastPrinted>
  <dcterms:modified xsi:type="dcterms:W3CDTF">2025-03-03T08:14:29Z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B24A3A2683A94721BC2002D23480C341_12</vt:lpwstr>
  </property>
  <property fmtid="{D5CDD505-2E9C-101B-9397-08002B2CF9AE}" pid="4" name="KSOTemplateDocerSaveRecord">
    <vt:lpwstr>eyJoZGlkIjoiYjg4NmE0Yjk1YzNlNjE3YzcyODc0MWM4OGQ3OTE5MTMiLCJ1c2VySWQiOiIyNDk0MzI3NjYifQ==</vt:lpwstr>
  </property>
</Properties>
</file>