
<file path=[Content_Types].xml><?xml version="1.0" encoding="utf-8"?>
<Types xmlns="http://schemas.openxmlformats.org/package/2006/content-types">
  <Default Extension="bin" ContentType="application/vnd.ms-word.attachedToolbar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7604" w14:textId="77777777" w:rsidR="0056213E"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《绿色展装要求》地方标准编制说明</w:t>
      </w:r>
    </w:p>
    <w:p w14:paraId="077A5F62" w14:textId="77777777" w:rsidR="0056213E" w:rsidRDefault="0056213E">
      <w:pPr>
        <w:spacing w:line="600" w:lineRule="exact"/>
        <w:rPr>
          <w:rFonts w:ascii="宋体" w:hAnsi="金山简标宋" w:hint="eastAsia"/>
          <w:b/>
          <w:sz w:val="24"/>
        </w:rPr>
      </w:pPr>
    </w:p>
    <w:p w14:paraId="7CA9E39A" w14:textId="77777777" w:rsidR="0056213E" w:rsidRDefault="00000000">
      <w:pPr>
        <w:pStyle w:val="1"/>
        <w:snapToGrid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一、任务来源</w:t>
      </w:r>
    </w:p>
    <w:p w14:paraId="1C8D8335" w14:textId="3C9A973E"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为全面贯彻落实党的</w:t>
      </w:r>
      <w:r w:rsidR="00A61647">
        <w:rPr>
          <w:rFonts w:ascii="仿宋" w:eastAsia="仿宋" w:hAnsi="仿宋" w:cs="仿宋" w:hint="eastAsia"/>
          <w:sz w:val="32"/>
          <w:szCs w:val="32"/>
        </w:rPr>
        <w:t>二十大</w:t>
      </w:r>
      <w:r>
        <w:rPr>
          <w:rFonts w:ascii="仿宋" w:eastAsia="仿宋" w:hAnsi="仿宋" w:cs="仿宋" w:hint="eastAsia"/>
          <w:sz w:val="32"/>
          <w:szCs w:val="32"/>
        </w:rPr>
        <w:t>和二十届二中全会精神，根据《国家标准化发展纲要》及行动计划的要求，推进服务业标准化、品牌化建设，健全服务业标准。同时进一步落实《广东省商务厅关于印发广东省推动会展业高质量发展若干措施的通知》（粤</w:t>
      </w:r>
      <w:proofErr w:type="gramStart"/>
      <w:r>
        <w:rPr>
          <w:rFonts w:ascii="仿宋" w:eastAsia="仿宋" w:hAnsi="仿宋" w:cs="仿宋" w:hint="eastAsia"/>
          <w:sz w:val="32"/>
          <w:szCs w:val="32"/>
        </w:rPr>
        <w:t>商务厅字〔2021〕</w:t>
      </w:r>
      <w:proofErr w:type="gramEnd"/>
      <w:r>
        <w:rPr>
          <w:rFonts w:ascii="仿宋" w:eastAsia="仿宋" w:hAnsi="仿宋" w:cs="仿宋" w:hint="eastAsia"/>
          <w:sz w:val="32"/>
          <w:szCs w:val="32"/>
        </w:rPr>
        <w:t>26号）“推进绿色生态会展，指导百强会展企业和百强会展项目贯彻绿色展会政策，实施绿色展会标准，带动绿色低碳展会发展。倡导创新应用节能环保技术，重复利 用标准化模块化会展产品，推行‘简约化、模块化、低碳化、安全化’的环保展台，大力支持绿色展会的办展主体、专业展馆发展。”的要求，特此编制《绿色展装要求》地方标准。</w:t>
      </w:r>
    </w:p>
    <w:p w14:paraId="7BEF5042"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根据《广东省市场监督管理局关于批准下达2023年第二批广东省地方标准制修订计划的通知》（</w:t>
      </w:r>
      <w:proofErr w:type="gramStart"/>
      <w:r>
        <w:rPr>
          <w:rFonts w:ascii="仿宋" w:eastAsia="仿宋" w:hAnsi="仿宋" w:cs="仿宋" w:hint="eastAsia"/>
          <w:sz w:val="32"/>
          <w:szCs w:val="32"/>
        </w:rPr>
        <w:t>粤市监标准</w:t>
      </w:r>
      <w:proofErr w:type="gramEnd"/>
      <w:r>
        <w:rPr>
          <w:rFonts w:ascii="仿宋" w:eastAsia="仿宋" w:hAnsi="仿宋" w:cs="仿宋" w:hint="eastAsia"/>
          <w:sz w:val="32"/>
          <w:szCs w:val="32"/>
        </w:rPr>
        <w:t>〔2023〕591号），《绿色展装要求》地方标准已于2023年12月正式列入广东省地方标准制修订计划，其提出单位是广东省商务厅，主导单位是广东会展组展企业协会，主要起草单位是深圳朗晖展示有限公司、</w:t>
      </w:r>
      <w:proofErr w:type="gramStart"/>
      <w:r>
        <w:rPr>
          <w:rFonts w:ascii="仿宋" w:eastAsia="仿宋" w:hAnsi="仿宋" w:cs="仿宋" w:hint="eastAsia"/>
          <w:sz w:val="32"/>
          <w:szCs w:val="32"/>
        </w:rPr>
        <w:t>广州市佰特会展</w:t>
      </w:r>
      <w:proofErr w:type="gramEnd"/>
      <w:r>
        <w:rPr>
          <w:rFonts w:ascii="仿宋" w:eastAsia="仿宋" w:hAnsi="仿宋" w:cs="仿宋" w:hint="eastAsia"/>
          <w:sz w:val="32"/>
          <w:szCs w:val="32"/>
        </w:rPr>
        <w:t>有限公司。</w:t>
      </w:r>
    </w:p>
    <w:p w14:paraId="26E6E32C" w14:textId="77777777" w:rsidR="0056213E" w:rsidRDefault="00000000">
      <w:pPr>
        <w:pStyle w:val="1"/>
        <w:snapToGrid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二、目的和意义</w:t>
      </w:r>
    </w:p>
    <w:p w14:paraId="02A5D7BE" w14:textId="7915D7CA"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习近平总书记在</w:t>
      </w:r>
      <w:r w:rsidR="00033FFD">
        <w:rPr>
          <w:rFonts w:ascii="仿宋" w:eastAsia="仿宋" w:hAnsi="仿宋" w:cs="仿宋" w:hint="eastAsia"/>
          <w:sz w:val="32"/>
          <w:szCs w:val="32"/>
        </w:rPr>
        <w:t>党的</w:t>
      </w:r>
      <w:r w:rsidR="00A61647">
        <w:rPr>
          <w:rFonts w:ascii="仿宋" w:eastAsia="仿宋" w:hAnsi="仿宋" w:cs="仿宋" w:hint="eastAsia"/>
          <w:sz w:val="32"/>
          <w:szCs w:val="32"/>
        </w:rPr>
        <w:t>二十大</w:t>
      </w:r>
      <w:r>
        <w:rPr>
          <w:rFonts w:ascii="仿宋" w:eastAsia="仿宋" w:hAnsi="仿宋" w:cs="仿宋" w:hint="eastAsia"/>
          <w:sz w:val="32"/>
          <w:szCs w:val="32"/>
        </w:rPr>
        <w:t>报告中明确指出“我们要推进美丽中国建设，坚持山水林田湖草沙一体化保护和系统治理，统筹产业结构调整、污染治理、生态保护、应对气候变</w:t>
      </w:r>
      <w:r>
        <w:rPr>
          <w:rFonts w:ascii="仿宋" w:eastAsia="仿宋" w:hAnsi="仿宋" w:cs="仿宋" w:hint="eastAsia"/>
          <w:sz w:val="32"/>
          <w:szCs w:val="32"/>
        </w:rPr>
        <w:lastRenderedPageBreak/>
        <w:t>化，协同推进降碳、减污、扩绿、增长，推进生态优先、节约集约、绿色低碳发展</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w:t>
      </w:r>
      <w:r w:rsidR="001875A9">
        <w:rPr>
          <w:rFonts w:ascii="仿宋" w:eastAsia="仿宋" w:hAnsi="仿宋" w:cs="仿宋" w:hint="eastAsia"/>
          <w:sz w:val="32"/>
          <w:szCs w:val="32"/>
        </w:rPr>
        <w:t>“</w:t>
      </w:r>
      <w:r>
        <w:rPr>
          <w:rFonts w:ascii="仿宋" w:eastAsia="仿宋" w:hAnsi="仿宋" w:cs="仿宋" w:hint="eastAsia"/>
          <w:sz w:val="32"/>
          <w:szCs w:val="32"/>
        </w:rPr>
        <w:t>十四五</w:t>
      </w:r>
      <w:r w:rsidR="001875A9">
        <w:rPr>
          <w:rFonts w:ascii="仿宋" w:eastAsia="仿宋" w:hAnsi="仿宋" w:cs="仿宋" w:hint="eastAsia"/>
          <w:sz w:val="32"/>
          <w:szCs w:val="32"/>
        </w:rPr>
        <w:t>”</w:t>
      </w:r>
      <w:r>
        <w:rPr>
          <w:rFonts w:ascii="仿宋" w:eastAsia="仿宋" w:hAnsi="仿宋" w:cs="仿宋" w:hint="eastAsia"/>
          <w:sz w:val="32"/>
          <w:szCs w:val="32"/>
        </w:rPr>
        <w:t>规划要求“加快发展方式绿色转型”、“构建市场导向的绿色技术创新体系，实施绿色技术创新攻关行动，开展重点行业和重点产品资源效率对标提升行动”。由此可见，“绿色低碳”已成为国民经济和社会发展的重中之重。</w:t>
      </w:r>
    </w:p>
    <w:p w14:paraId="2F5255D0" w14:textId="77777777" w:rsidR="0056213E" w:rsidRDefault="00000000">
      <w:pPr>
        <w:snapToGrid w:val="0"/>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（一）展览业污染问题不容小觑，绿色发展迫在眉睫。</w:t>
      </w:r>
      <w:r>
        <w:rPr>
          <w:rFonts w:ascii="仿宋" w:eastAsia="仿宋" w:hAnsi="仿宋" w:cs="仿宋" w:hint="eastAsia"/>
          <w:sz w:val="32"/>
          <w:szCs w:val="32"/>
        </w:rPr>
        <w:t>此前，展览业有被誉为“世界三大无烟产业”的说法。其实不尽然，因展览会传统搭建产生的大量垃圾对环境污染和破坏不容小觑，往往“一个展会结束就是一个垃圾场的诞生”。尤其是当前大型展会撤展时间极短，仅仅只有几个小时，许多搭建材料只能采取强拆，有效回收利用率非常低。有代表在2020年全国两会上反映：2019年</w:t>
      </w:r>
      <w:proofErr w:type="gramStart"/>
      <w:r>
        <w:rPr>
          <w:rFonts w:ascii="仿宋" w:eastAsia="仿宋" w:hAnsi="仿宋" w:cs="仿宋" w:hint="eastAsia"/>
          <w:sz w:val="32"/>
          <w:szCs w:val="32"/>
        </w:rPr>
        <w:t>全国展装垃圾</w:t>
      </w:r>
      <w:proofErr w:type="gramEnd"/>
      <w:r>
        <w:rPr>
          <w:rFonts w:ascii="仿宋" w:eastAsia="仿宋" w:hAnsi="仿宋" w:cs="仿宋" w:hint="eastAsia"/>
          <w:sz w:val="32"/>
          <w:szCs w:val="32"/>
        </w:rPr>
        <w:t>达86.8万吨，回收利用率仅10%左右。在现实背景下，如何使展览会运营更绿色环保，实践环境友好型展览经济，已经成为我国展览业的一大痛点。</w:t>
      </w:r>
    </w:p>
    <w:p w14:paraId="04B2D27A"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中国目前正处于快速发展的转型期，过去过度消耗自然资源的粗放式发展给社会带来了负面环境影响，环境污染和破坏对经济造成的损失，成为未来社会发展的巨大负担。2020年以来，“绿色展览”引起了业界的热烈讨论及反思，并引起了有关部门的高度重视。2021年2月，国务院发布《</w:t>
      </w:r>
      <w:hyperlink r:id="rId10" w:anchor="wechat_redirect" w:tgtFrame="https://mp.weixin.qq.com/_blank" w:history="1">
        <w:r w:rsidR="0056213E">
          <w:rPr>
            <w:rFonts w:ascii="仿宋" w:eastAsia="仿宋" w:hAnsi="仿宋" w:cs="仿宋" w:hint="eastAsia"/>
            <w:sz w:val="32"/>
            <w:szCs w:val="32"/>
          </w:rPr>
          <w:t>关于加快建立健全绿色低碳循环发展经济体系的指导意见</w:t>
        </w:r>
      </w:hyperlink>
      <w:r>
        <w:rPr>
          <w:rFonts w:ascii="仿宋" w:eastAsia="仿宋" w:hAnsi="仿宋" w:cs="仿宋" w:hint="eastAsia"/>
          <w:sz w:val="32"/>
          <w:szCs w:val="32"/>
        </w:rPr>
        <w:t>》，包含对展览业的要求，提出“推进绿色发展，指导制定行业相关绿色标准，推动办展设施循环使用”，这是国务院文件</w:t>
      </w:r>
      <w:r>
        <w:rPr>
          <w:rFonts w:ascii="仿宋" w:eastAsia="仿宋" w:hAnsi="仿宋" w:cs="仿宋" w:hint="eastAsia"/>
          <w:sz w:val="32"/>
          <w:szCs w:val="32"/>
        </w:rPr>
        <w:lastRenderedPageBreak/>
        <w:t>首次提出“展览业绿色发展”概念。2021年4月，商务部审核并公布行业标准《环保展台设计制作指南》（SB/T 11231-2021），该标准于2021年11月1日正式实施，将对促进环保展台推广应用、推动展览业绿色发展发挥积极作用。</w:t>
      </w:r>
    </w:p>
    <w:p w14:paraId="5B41487E"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当前，我国绿色展览的推进已经进入关键阶段，需要会展场馆、主承办单位、搭建商等相关机构加强联动协同，一步一个脚印地推进绿色会展工作的有序开展。未来，绿色展览是大势所趋，这要求我国展览业提前做好准备，产业上下游一起迎接一场“绿色革命”。  </w:t>
      </w:r>
    </w:p>
    <w:p w14:paraId="7286F01F" w14:textId="77777777" w:rsidR="0056213E" w:rsidRDefault="00000000">
      <w:pPr>
        <w:snapToGrid w:val="0"/>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（二）填补我省会展业标准绿色发展领域的空白。</w:t>
      </w:r>
      <w:r>
        <w:rPr>
          <w:rFonts w:ascii="仿宋" w:eastAsia="仿宋" w:hAnsi="仿宋" w:cs="仿宋" w:hint="eastAsia"/>
          <w:sz w:val="32"/>
          <w:szCs w:val="32"/>
        </w:rPr>
        <w:t>根据全国标准信息公共服务平台的公开信息，目前已发布的会展业国家标准共25项，与绿色会展有关的是《绿色展台评价指南》（GB/T 41129—2021），《绿色展览运营指南》（GB/T 42496-2023），行业标准有关的是《环保展台设计制作指南》（SB/T 11231—2021），分别从展台、展览运营的全过程进行了相关的界定。地方标准方面，浙江、上海、辽宁、广西等地也有绿色会展的相关标准出台。我省作为全国会展业发展的排头兵，并未出台相关标准，这与我省会展业大省和强省的地位不相匹配。</w:t>
      </w:r>
    </w:p>
    <w:p w14:paraId="3DB6DA1C"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广东省是我国展览业第一大省，绿色发展理念提出以来，虽然也有部分展览企业积极投入到绿色展览的研究和实践中来，如2014年广交会推出《广交会绿色发展计划》，</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“绿色展览”理念。但是，从全省范围看，除少数主办方贯彻执行之外，“绿色展览”推动速度较慢，效果不明显。</w:t>
      </w:r>
      <w:r>
        <w:rPr>
          <w:rFonts w:ascii="仿宋" w:eastAsia="仿宋" w:hAnsi="仿宋" w:cs="仿宋" w:hint="eastAsia"/>
          <w:sz w:val="32"/>
          <w:szCs w:val="32"/>
        </w:rPr>
        <w:lastRenderedPageBreak/>
        <w:t>其中，缺乏绿色展览标准，也是造成全省绿色展览进程缓慢的重要原因。因此，制定《绿色展装要求》地方标准，引导行业规范发展，是广东省展览业绿色发展的当务之急，使绿色展览建设有章可循。</w:t>
      </w:r>
    </w:p>
    <w:p w14:paraId="2ADA3FF6" w14:textId="77777777" w:rsidR="0056213E" w:rsidRDefault="00000000">
      <w:pPr>
        <w:snapToGrid w:val="0"/>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（三）响应“双碳”战略，提高展览环境效益和社会效益。</w:t>
      </w:r>
      <w:r>
        <w:rPr>
          <w:rFonts w:ascii="仿宋" w:eastAsia="仿宋" w:hAnsi="仿宋" w:cs="仿宋" w:hint="eastAsia"/>
          <w:sz w:val="32"/>
          <w:szCs w:val="32"/>
        </w:rPr>
        <w:t>《绿色展装要求》有助于广东绿色展览形成统一的管理规范，有效推进传统展览向绿色展览转化的同时，具有非常重要的示范和引领作用，响应了广东省委、省政府“双碳”战略号召。标准从展览可持续发展的角度出发，贯彻展览绿色发展理念，关注国家生态文明建设要求科学技术发展，推动展览利益相关</w:t>
      </w:r>
      <w:proofErr w:type="gramStart"/>
      <w:r>
        <w:rPr>
          <w:rFonts w:ascii="仿宋" w:eastAsia="仿宋" w:hAnsi="仿宋" w:cs="仿宋" w:hint="eastAsia"/>
          <w:sz w:val="32"/>
          <w:szCs w:val="32"/>
        </w:rPr>
        <w:t>方主动</w:t>
      </w:r>
      <w:proofErr w:type="gramEnd"/>
      <w:r>
        <w:rPr>
          <w:rFonts w:ascii="仿宋" w:eastAsia="仿宋" w:hAnsi="仿宋" w:cs="仿宋" w:hint="eastAsia"/>
          <w:sz w:val="32"/>
          <w:szCs w:val="32"/>
        </w:rPr>
        <w:t>承担社会责任。本标准的编制和实施，将对企业和个人关于展览可持续发展的认知、观念与行为产生积极影响，将成为展览实施绿色运营的有效手段和抓手，从而产生积极的经济、环境和社会效益。</w:t>
      </w:r>
    </w:p>
    <w:p w14:paraId="11D48767" w14:textId="77777777" w:rsidR="0056213E" w:rsidRDefault="00000000">
      <w:pPr>
        <w:pStyle w:val="1"/>
        <w:snapToGrid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三、标准制定原则及主要内容</w:t>
      </w:r>
    </w:p>
    <w:p w14:paraId="215B3564"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r>
        <w:rPr>
          <w:rFonts w:ascii="楷体" w:eastAsia="楷体" w:hAnsi="楷体" w:cs="楷体" w:hint="eastAsia"/>
          <w:b/>
          <w:bCs/>
          <w:sz w:val="32"/>
          <w:szCs w:val="32"/>
        </w:rPr>
        <w:t>（一）标准编制原则</w:t>
      </w:r>
    </w:p>
    <w:p w14:paraId="431BEEEE" w14:textId="77777777" w:rsidR="0056213E" w:rsidRDefault="00000000">
      <w:pPr>
        <w:snapToGrid w:val="0"/>
        <w:spacing w:line="56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1.科学性</w:t>
      </w:r>
    </w:p>
    <w:p w14:paraId="21AA03BE"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规范的制定充分遵照国内相关法律法规，标准主要内容和各项技术要求科学合理。本标准严格按照GB/T1.1-2020的规定编写，且确保与国家标准、行业标准中的术语和词汇保持一致，采用国家标准中规定的术语和广大用户熟悉的词汇。</w:t>
      </w:r>
    </w:p>
    <w:p w14:paraId="125E5D5A" w14:textId="77777777" w:rsidR="0056213E" w:rsidRDefault="00000000">
      <w:pPr>
        <w:snapToGrid w:val="0"/>
        <w:spacing w:line="56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2.适用性</w:t>
      </w:r>
    </w:p>
    <w:p w14:paraId="49300A8E"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本标准旨在为</w:t>
      </w:r>
      <w:proofErr w:type="gramStart"/>
      <w:r>
        <w:rPr>
          <w:rFonts w:ascii="仿宋" w:eastAsia="仿宋" w:hAnsi="仿宋" w:cs="仿宋" w:hint="eastAsia"/>
          <w:sz w:val="32"/>
          <w:szCs w:val="32"/>
        </w:rPr>
        <w:t>绿色展装的</w:t>
      </w:r>
      <w:proofErr w:type="gramEnd"/>
      <w:r>
        <w:rPr>
          <w:rFonts w:ascii="仿宋" w:eastAsia="仿宋" w:hAnsi="仿宋" w:cs="仿宋" w:hint="eastAsia"/>
          <w:sz w:val="32"/>
          <w:szCs w:val="32"/>
        </w:rPr>
        <w:t>设计、材料、工厂、照明、施</w:t>
      </w:r>
      <w:r>
        <w:rPr>
          <w:rFonts w:ascii="仿宋" w:eastAsia="仿宋" w:hAnsi="仿宋" w:cs="仿宋" w:hint="eastAsia"/>
          <w:sz w:val="32"/>
          <w:szCs w:val="32"/>
        </w:rPr>
        <w:lastRenderedPageBreak/>
        <w:t>工等活动全过程提供有效指导和建议，提高我省展览展示工程企业的综合实力，推动会展行业健康发展。</w:t>
      </w:r>
    </w:p>
    <w:p w14:paraId="5311C0A7" w14:textId="77777777" w:rsidR="0056213E" w:rsidRDefault="00000000">
      <w:pPr>
        <w:snapToGrid w:val="0"/>
        <w:spacing w:line="56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3.协调性</w:t>
      </w:r>
    </w:p>
    <w:p w14:paraId="6B18A30D" w14:textId="77777777" w:rsidR="0056213E" w:rsidRDefault="00000000">
      <w:pPr>
        <w:snapToGrid w:val="0"/>
        <w:spacing w:line="56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本标准的协调</w:t>
      </w:r>
      <w:r>
        <w:rPr>
          <w:rFonts w:ascii="仿宋" w:eastAsia="仿宋" w:hAnsi="仿宋" w:cs="仿宋" w:hint="eastAsia"/>
          <w:bCs/>
          <w:sz w:val="32"/>
          <w:szCs w:val="32"/>
        </w:rPr>
        <w:t>性</w:t>
      </w:r>
      <w:r>
        <w:rPr>
          <w:rFonts w:ascii="仿宋" w:eastAsia="仿宋" w:hAnsi="仿宋" w:cs="仿宋" w:hint="eastAsia"/>
          <w:sz w:val="32"/>
          <w:szCs w:val="32"/>
        </w:rPr>
        <w:t>是指符合国家政策，贯彻国家法律法规，与绿色</w:t>
      </w:r>
      <w:proofErr w:type="gramStart"/>
      <w:r>
        <w:rPr>
          <w:rFonts w:ascii="仿宋" w:eastAsia="仿宋" w:hAnsi="仿宋" w:cs="仿宋" w:hint="eastAsia"/>
          <w:sz w:val="32"/>
          <w:szCs w:val="32"/>
        </w:rPr>
        <w:t>展装现有</w:t>
      </w:r>
      <w:proofErr w:type="gramEnd"/>
      <w:r>
        <w:rPr>
          <w:rFonts w:ascii="仿宋" w:eastAsia="仿宋" w:hAnsi="仿宋" w:cs="仿宋" w:hint="eastAsia"/>
          <w:sz w:val="32"/>
          <w:szCs w:val="32"/>
        </w:rPr>
        <w:t>标准和行业发展现状协调一致，做到衔接配套、适度超前。</w:t>
      </w:r>
    </w:p>
    <w:p w14:paraId="2B342881" w14:textId="77777777" w:rsidR="0056213E" w:rsidRDefault="00000000">
      <w:pPr>
        <w:snapToGrid w:val="0"/>
        <w:spacing w:line="56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4.可操作性</w:t>
      </w:r>
    </w:p>
    <w:p w14:paraId="0B029D3B" w14:textId="77777777" w:rsidR="0056213E" w:rsidRDefault="00000000">
      <w:pPr>
        <w:snapToGrid w:val="0"/>
        <w:spacing w:line="56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本标准的可操作性是指统筹考虑展览展示工程的特点与广东省会展业发展情况，尽可能全面地满足今后一定时期内</w:t>
      </w:r>
      <w:proofErr w:type="gramStart"/>
      <w:r>
        <w:rPr>
          <w:rFonts w:ascii="仿宋" w:eastAsia="仿宋" w:hAnsi="仿宋" w:cs="仿宋" w:hint="eastAsia"/>
          <w:sz w:val="32"/>
          <w:szCs w:val="32"/>
        </w:rPr>
        <w:t>绿色展装的</w:t>
      </w:r>
      <w:proofErr w:type="gramEnd"/>
      <w:r>
        <w:rPr>
          <w:rFonts w:ascii="仿宋" w:eastAsia="仿宋" w:hAnsi="仿宋" w:cs="仿宋" w:hint="eastAsia"/>
          <w:sz w:val="32"/>
          <w:szCs w:val="32"/>
        </w:rPr>
        <w:t>各方面需求，为展览展示工程与服务提供更具实际意义的参考性文件。</w:t>
      </w:r>
    </w:p>
    <w:p w14:paraId="7E569508"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r>
        <w:rPr>
          <w:rFonts w:ascii="楷体" w:eastAsia="楷体" w:hAnsi="楷体" w:cs="楷体" w:hint="eastAsia"/>
          <w:b/>
          <w:bCs/>
          <w:sz w:val="32"/>
          <w:szCs w:val="32"/>
        </w:rPr>
        <w:t>（二）标准制订主要依据</w:t>
      </w:r>
    </w:p>
    <w:p w14:paraId="5AA04160" w14:textId="77777777" w:rsidR="0056213E" w:rsidRDefault="00000000">
      <w:pPr>
        <w:snapToGrid w:val="0"/>
        <w:spacing w:line="56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本标准根据《中华人民共和国标准化法》《广东省标准化条例》等规定，参考相关国家标准、行业标准和地方标准，结合行业的发展需要，按照GB/T 1.1-2020《标准化工作导则 第1部分：标准化文件的结构和起草规则》的规定，以及相关文件要求起草本标准。</w:t>
      </w:r>
    </w:p>
    <w:p w14:paraId="50F8E840" w14:textId="77777777" w:rsidR="0056213E" w:rsidRDefault="00000000">
      <w:pPr>
        <w:snapToGrid w:val="0"/>
        <w:spacing w:line="56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本标准主要引用文件：</w:t>
      </w:r>
    </w:p>
    <w:p w14:paraId="77F2BA0F" w14:textId="77777777" w:rsidR="0056213E" w:rsidRDefault="00000000">
      <w:pPr>
        <w:snapToGrid w:val="0"/>
        <w:spacing w:line="56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GB/T 26165  经济贸易展览会 术语</w:t>
      </w:r>
    </w:p>
    <w:p w14:paraId="35D8D759" w14:textId="77777777" w:rsidR="0056213E" w:rsidRDefault="0056213E">
      <w:pPr>
        <w:snapToGrid w:val="0"/>
        <w:spacing w:line="560" w:lineRule="exact"/>
        <w:ind w:firstLineChars="200" w:firstLine="420"/>
        <w:outlineLvl w:val="2"/>
        <w:rPr>
          <w:rFonts w:ascii="仿宋" w:eastAsia="仿宋" w:hAnsi="仿宋" w:cs="仿宋" w:hint="eastAsia"/>
          <w:sz w:val="32"/>
          <w:szCs w:val="32"/>
        </w:rPr>
      </w:pPr>
      <w:hyperlink r:id="rId11" w:tgtFrame="http://std.samr.gov.cn/search/_blank" w:history="1">
        <w:r>
          <w:rPr>
            <w:rFonts w:ascii="仿宋" w:eastAsia="仿宋" w:hAnsi="仿宋" w:cs="仿宋" w:hint="eastAsia"/>
            <w:sz w:val="32"/>
            <w:szCs w:val="32"/>
          </w:rPr>
          <w:t>GB/T 41129-2021  绿色展台评价指南</w:t>
        </w:r>
      </w:hyperlink>
    </w:p>
    <w:p w14:paraId="5ACA3B96" w14:textId="77777777" w:rsidR="0056213E" w:rsidRDefault="00000000">
      <w:pPr>
        <w:snapToGrid w:val="0"/>
        <w:spacing w:line="56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GB 50034-2020  建筑照明设计标准</w:t>
      </w:r>
    </w:p>
    <w:p w14:paraId="1B5CC38F" w14:textId="77777777" w:rsidR="0056213E" w:rsidRDefault="00000000">
      <w:pPr>
        <w:snapToGrid w:val="0"/>
        <w:spacing w:line="56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GB/T 24001  环境管理体系 要求及使用指南</w:t>
      </w:r>
    </w:p>
    <w:p w14:paraId="50C70529" w14:textId="77777777" w:rsidR="0056213E" w:rsidRDefault="00000000">
      <w:pPr>
        <w:snapToGrid w:val="0"/>
        <w:spacing w:line="56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GB/T 35601  绿色产品评价 人造板和木质地板</w:t>
      </w:r>
    </w:p>
    <w:p w14:paraId="7E1DE948" w14:textId="77777777" w:rsidR="0056213E" w:rsidRDefault="00000000">
      <w:pPr>
        <w:snapToGrid w:val="0"/>
        <w:spacing w:line="56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GB 18582  建筑用墙面涂料中有害物质限量</w:t>
      </w:r>
    </w:p>
    <w:p w14:paraId="5C8B64DE" w14:textId="77777777" w:rsidR="0056213E" w:rsidRDefault="0056213E">
      <w:pPr>
        <w:snapToGrid w:val="0"/>
        <w:spacing w:line="560" w:lineRule="exact"/>
        <w:ind w:firstLineChars="200" w:firstLine="643"/>
        <w:outlineLvl w:val="1"/>
        <w:rPr>
          <w:rFonts w:ascii="楷体" w:eastAsia="楷体" w:hAnsi="楷体" w:cs="楷体" w:hint="eastAsia"/>
          <w:b/>
          <w:bCs/>
          <w:sz w:val="32"/>
          <w:szCs w:val="32"/>
        </w:rPr>
      </w:pPr>
    </w:p>
    <w:p w14:paraId="6AA98046"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r>
        <w:rPr>
          <w:rFonts w:ascii="楷体" w:eastAsia="楷体" w:hAnsi="楷体" w:cs="楷体" w:hint="eastAsia"/>
          <w:b/>
          <w:bCs/>
          <w:sz w:val="32"/>
          <w:szCs w:val="32"/>
        </w:rPr>
        <w:t>（三）本标准的主要内容</w:t>
      </w:r>
    </w:p>
    <w:p w14:paraId="03AADF4A"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本文件编写遵循“统一、协调、简化、优化”标准化原理。在文件的主要结构框架、规范性要素的确定上仔细斟酌。在主要规范性技术要素的选择上进行了重点研究，本文件主要包括以下主要内容：</w:t>
      </w:r>
    </w:p>
    <w:p w14:paraId="4D44D5E6" w14:textId="77777777" w:rsidR="0056213E" w:rsidRDefault="00000000">
      <w:pPr>
        <w:snapToGrid w:val="0"/>
        <w:spacing w:line="560" w:lineRule="exact"/>
        <w:ind w:firstLineChars="200" w:firstLine="643"/>
        <w:outlineLvl w:val="2"/>
        <w:rPr>
          <w:rFonts w:ascii="仿宋" w:eastAsia="仿宋" w:hAnsi="仿宋" w:cs="仿宋" w:hint="eastAsia"/>
          <w:b/>
          <w:sz w:val="32"/>
          <w:szCs w:val="32"/>
        </w:rPr>
      </w:pPr>
      <w:bookmarkStart w:id="0" w:name="_Toc463861393"/>
      <w:r>
        <w:rPr>
          <w:rFonts w:ascii="仿宋" w:eastAsia="仿宋" w:hAnsi="仿宋" w:cs="仿宋" w:hint="eastAsia"/>
          <w:b/>
          <w:sz w:val="32"/>
          <w:szCs w:val="32"/>
        </w:rPr>
        <w:t>1.标准的适用范围与结构</w:t>
      </w:r>
    </w:p>
    <w:p w14:paraId="64CEC559"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本标准规定了</w:t>
      </w:r>
      <w:proofErr w:type="gramStart"/>
      <w:r>
        <w:rPr>
          <w:rFonts w:ascii="仿宋" w:eastAsia="仿宋" w:hAnsi="仿宋" w:cs="仿宋" w:hint="eastAsia"/>
          <w:sz w:val="32"/>
          <w:szCs w:val="32"/>
        </w:rPr>
        <w:t>绿色展装的</w:t>
      </w:r>
      <w:proofErr w:type="gramEnd"/>
      <w:r>
        <w:rPr>
          <w:rFonts w:ascii="仿宋" w:eastAsia="仿宋" w:hAnsi="仿宋" w:cs="仿宋" w:hint="eastAsia"/>
          <w:sz w:val="32"/>
          <w:szCs w:val="32"/>
        </w:rPr>
        <w:t>设计、材料、工厂、照明、施工、物流、回收、教育、服务评价等要求。</w:t>
      </w:r>
    </w:p>
    <w:p w14:paraId="6B75DDA4"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本标准适用于指导展览工程企业绿色</w:t>
      </w:r>
      <w:proofErr w:type="gramStart"/>
      <w:r>
        <w:rPr>
          <w:rFonts w:ascii="仿宋" w:eastAsia="仿宋" w:hAnsi="仿宋" w:cs="仿宋" w:hint="eastAsia"/>
          <w:sz w:val="32"/>
          <w:szCs w:val="32"/>
        </w:rPr>
        <w:t>展装全</w:t>
      </w:r>
      <w:proofErr w:type="gramEnd"/>
      <w:r>
        <w:rPr>
          <w:rFonts w:ascii="仿宋" w:eastAsia="仿宋" w:hAnsi="仿宋" w:cs="仿宋" w:hint="eastAsia"/>
          <w:sz w:val="32"/>
          <w:szCs w:val="32"/>
        </w:rPr>
        <w:t>过程管理。</w:t>
      </w:r>
    </w:p>
    <w:bookmarkEnd w:id="0"/>
    <w:p w14:paraId="23C4D584" w14:textId="77777777" w:rsidR="0056213E" w:rsidRDefault="00000000">
      <w:pPr>
        <w:snapToGrid w:val="0"/>
        <w:spacing w:line="56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2.基本原则</w:t>
      </w:r>
    </w:p>
    <w:p w14:paraId="513FE306"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文件第4章从尊重自然、使用可再生材料和新材料、使用可再利用和</w:t>
      </w:r>
      <w:proofErr w:type="gramStart"/>
      <w:r>
        <w:rPr>
          <w:rFonts w:ascii="仿宋" w:eastAsia="仿宋" w:hAnsi="仿宋" w:cs="仿宋" w:hint="eastAsia"/>
          <w:sz w:val="32"/>
          <w:szCs w:val="32"/>
        </w:rPr>
        <w:t>可</w:t>
      </w:r>
      <w:proofErr w:type="gramEnd"/>
      <w:r>
        <w:rPr>
          <w:rFonts w:ascii="仿宋" w:eastAsia="仿宋" w:hAnsi="仿宋" w:cs="仿宋" w:hint="eastAsia"/>
          <w:sz w:val="32"/>
          <w:szCs w:val="32"/>
        </w:rPr>
        <w:t>循环利用的材料、减少废弃物和污染物、加强记忆和教育等5个方面对绿色</w:t>
      </w:r>
      <w:proofErr w:type="gramStart"/>
      <w:r>
        <w:rPr>
          <w:rFonts w:ascii="仿宋" w:eastAsia="仿宋" w:hAnsi="仿宋" w:cs="仿宋" w:hint="eastAsia"/>
          <w:sz w:val="32"/>
          <w:szCs w:val="32"/>
        </w:rPr>
        <w:t>展装应</w:t>
      </w:r>
      <w:proofErr w:type="gramEnd"/>
      <w:r>
        <w:rPr>
          <w:rFonts w:ascii="仿宋" w:eastAsia="仿宋" w:hAnsi="仿宋" w:cs="仿宋" w:hint="eastAsia"/>
          <w:sz w:val="32"/>
          <w:szCs w:val="32"/>
        </w:rPr>
        <w:t>满足的基本原则进行描述。</w:t>
      </w:r>
    </w:p>
    <w:p w14:paraId="1AF52E41" w14:textId="77777777" w:rsidR="0056213E" w:rsidRDefault="00000000">
      <w:pPr>
        <w:snapToGrid w:val="0"/>
        <w:spacing w:line="56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3.基本要求</w:t>
      </w:r>
    </w:p>
    <w:p w14:paraId="4AFC3B9E"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文件第5章规定了绿色</w:t>
      </w:r>
      <w:proofErr w:type="gramStart"/>
      <w:r>
        <w:rPr>
          <w:rFonts w:ascii="仿宋" w:eastAsia="仿宋" w:hAnsi="仿宋" w:cs="仿宋" w:hint="eastAsia"/>
          <w:sz w:val="32"/>
          <w:szCs w:val="32"/>
        </w:rPr>
        <w:t>展装要求</w:t>
      </w:r>
      <w:proofErr w:type="gramEnd"/>
      <w:r>
        <w:rPr>
          <w:rFonts w:ascii="仿宋" w:eastAsia="仿宋" w:hAnsi="仿宋" w:cs="仿宋" w:hint="eastAsia"/>
          <w:sz w:val="32"/>
          <w:szCs w:val="32"/>
        </w:rPr>
        <w:t>应以单体企业、工厂作为计算和评价单元，以及绿色</w:t>
      </w:r>
      <w:proofErr w:type="gramStart"/>
      <w:r>
        <w:rPr>
          <w:rFonts w:ascii="仿宋" w:eastAsia="仿宋" w:hAnsi="仿宋" w:cs="仿宋" w:hint="eastAsia"/>
          <w:sz w:val="32"/>
          <w:szCs w:val="32"/>
        </w:rPr>
        <w:t>展装企业</w:t>
      </w:r>
      <w:proofErr w:type="gramEnd"/>
      <w:r>
        <w:rPr>
          <w:rFonts w:ascii="仿宋" w:eastAsia="仿宋" w:hAnsi="仿宋" w:cs="仿宋" w:hint="eastAsia"/>
          <w:sz w:val="32"/>
          <w:szCs w:val="32"/>
        </w:rPr>
        <w:t>应符合具有独立法人资格、完善的供应</w:t>
      </w:r>
      <w:proofErr w:type="gramStart"/>
      <w:r>
        <w:rPr>
          <w:rFonts w:ascii="仿宋" w:eastAsia="仿宋" w:hAnsi="仿宋" w:cs="仿宋" w:hint="eastAsia"/>
          <w:sz w:val="32"/>
          <w:szCs w:val="32"/>
        </w:rPr>
        <w:t>商管理</w:t>
      </w:r>
      <w:proofErr w:type="gramEnd"/>
      <w:r>
        <w:rPr>
          <w:rFonts w:ascii="仿宋" w:eastAsia="仿宋" w:hAnsi="仿宋" w:cs="仿宋" w:hint="eastAsia"/>
          <w:sz w:val="32"/>
          <w:szCs w:val="32"/>
        </w:rPr>
        <w:t>体系等基本要求。</w:t>
      </w:r>
    </w:p>
    <w:p w14:paraId="49880B97" w14:textId="77777777" w:rsidR="0056213E" w:rsidRDefault="00000000">
      <w:pPr>
        <w:snapToGrid w:val="0"/>
        <w:spacing w:line="56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4.绿色</w:t>
      </w:r>
      <w:proofErr w:type="gramStart"/>
      <w:r>
        <w:rPr>
          <w:rFonts w:ascii="仿宋" w:eastAsia="仿宋" w:hAnsi="仿宋" w:cs="仿宋" w:hint="eastAsia"/>
          <w:b/>
          <w:sz w:val="32"/>
          <w:szCs w:val="32"/>
        </w:rPr>
        <w:t>展装要求</w:t>
      </w:r>
      <w:proofErr w:type="gramEnd"/>
      <w:r>
        <w:rPr>
          <w:rFonts w:ascii="仿宋" w:eastAsia="仿宋" w:hAnsi="仿宋" w:cs="仿宋" w:hint="eastAsia"/>
          <w:b/>
          <w:sz w:val="32"/>
          <w:szCs w:val="32"/>
        </w:rPr>
        <w:t>主要内容</w:t>
      </w:r>
    </w:p>
    <w:p w14:paraId="03318EFA" w14:textId="77777777" w:rsidR="0056213E" w:rsidRDefault="00000000">
      <w:pPr>
        <w:snapToGrid w:val="0"/>
        <w:spacing w:line="560" w:lineRule="exact"/>
        <w:ind w:firstLineChars="200" w:firstLine="640"/>
      </w:pPr>
      <w:r>
        <w:rPr>
          <w:rFonts w:ascii="仿宋" w:eastAsia="仿宋" w:hAnsi="仿宋" w:cs="仿宋" w:hint="eastAsia"/>
          <w:sz w:val="32"/>
          <w:szCs w:val="32"/>
        </w:rPr>
        <w:t>文件第6章至第13章是绿色</w:t>
      </w:r>
      <w:proofErr w:type="gramStart"/>
      <w:r>
        <w:rPr>
          <w:rFonts w:ascii="仿宋" w:eastAsia="仿宋" w:hAnsi="仿宋" w:cs="仿宋" w:hint="eastAsia"/>
          <w:sz w:val="32"/>
          <w:szCs w:val="32"/>
        </w:rPr>
        <w:t>展装要求</w:t>
      </w:r>
      <w:proofErr w:type="gramEnd"/>
      <w:r>
        <w:rPr>
          <w:rFonts w:ascii="仿宋" w:eastAsia="仿宋" w:hAnsi="仿宋" w:cs="仿宋" w:hint="eastAsia"/>
          <w:sz w:val="32"/>
          <w:szCs w:val="32"/>
        </w:rPr>
        <w:t>的主体部分，分别从</w:t>
      </w:r>
      <w:proofErr w:type="gramStart"/>
      <w:r>
        <w:rPr>
          <w:rFonts w:ascii="仿宋" w:eastAsia="仿宋" w:hAnsi="仿宋" w:cs="仿宋" w:hint="eastAsia"/>
          <w:sz w:val="32"/>
          <w:szCs w:val="32"/>
        </w:rPr>
        <w:t>绿色展装设计</w:t>
      </w:r>
      <w:proofErr w:type="gramEnd"/>
      <w:r>
        <w:rPr>
          <w:rFonts w:ascii="仿宋" w:eastAsia="仿宋" w:hAnsi="仿宋" w:cs="仿宋" w:hint="eastAsia"/>
          <w:sz w:val="32"/>
          <w:szCs w:val="32"/>
        </w:rPr>
        <w:t>、材料、工厂、照明、施工、物流、回收及教育等8个方面，对绿色</w:t>
      </w:r>
      <w:proofErr w:type="gramStart"/>
      <w:r>
        <w:rPr>
          <w:rFonts w:ascii="仿宋" w:eastAsia="仿宋" w:hAnsi="仿宋" w:cs="仿宋" w:hint="eastAsia"/>
          <w:sz w:val="32"/>
          <w:szCs w:val="32"/>
        </w:rPr>
        <w:t>展装全</w:t>
      </w:r>
      <w:proofErr w:type="gramEnd"/>
      <w:r>
        <w:rPr>
          <w:rFonts w:ascii="仿宋" w:eastAsia="仿宋" w:hAnsi="仿宋" w:cs="仿宋" w:hint="eastAsia"/>
          <w:sz w:val="32"/>
          <w:szCs w:val="32"/>
        </w:rPr>
        <w:t>过程进行了规范指引。</w:t>
      </w:r>
    </w:p>
    <w:p w14:paraId="1F46CE9C" w14:textId="77777777" w:rsidR="0056213E" w:rsidRDefault="00000000">
      <w:pPr>
        <w:snapToGrid w:val="0"/>
        <w:spacing w:line="560" w:lineRule="exact"/>
        <w:ind w:firstLineChars="200" w:firstLine="643"/>
        <w:rPr>
          <w:rFonts w:ascii="仿宋" w:eastAsia="仿宋" w:hAnsi="仿宋" w:cs="仿宋" w:hint="eastAsia"/>
          <w:b/>
          <w:sz w:val="32"/>
          <w:szCs w:val="32"/>
        </w:rPr>
      </w:pPr>
      <w:r>
        <w:rPr>
          <w:rFonts w:ascii="仿宋" w:eastAsia="仿宋" w:hAnsi="仿宋" w:cs="仿宋" w:hint="eastAsia"/>
          <w:b/>
          <w:sz w:val="32"/>
          <w:szCs w:val="32"/>
        </w:rPr>
        <w:t>5.</w:t>
      </w:r>
      <w:bookmarkStart w:id="1" w:name="_Toc19885"/>
      <w:bookmarkStart w:id="2" w:name="_Toc2382"/>
      <w:r>
        <w:rPr>
          <w:rFonts w:ascii="仿宋" w:eastAsia="仿宋" w:hAnsi="仿宋" w:cs="仿宋" w:hint="eastAsia"/>
          <w:b/>
          <w:sz w:val="32"/>
          <w:szCs w:val="32"/>
        </w:rPr>
        <w:t>绿色</w:t>
      </w:r>
      <w:proofErr w:type="gramStart"/>
      <w:r>
        <w:rPr>
          <w:rFonts w:ascii="仿宋" w:eastAsia="仿宋" w:hAnsi="仿宋" w:cs="仿宋" w:hint="eastAsia"/>
          <w:b/>
          <w:sz w:val="32"/>
          <w:szCs w:val="32"/>
        </w:rPr>
        <w:t>展装服务</w:t>
      </w:r>
      <w:proofErr w:type="gramEnd"/>
      <w:r>
        <w:rPr>
          <w:rFonts w:ascii="仿宋" w:eastAsia="仿宋" w:hAnsi="仿宋" w:cs="仿宋" w:hint="eastAsia"/>
          <w:b/>
          <w:sz w:val="32"/>
          <w:szCs w:val="32"/>
        </w:rPr>
        <w:t>评价</w:t>
      </w:r>
      <w:bookmarkEnd w:id="1"/>
      <w:bookmarkEnd w:id="2"/>
    </w:p>
    <w:p w14:paraId="7A70FC94"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文件第14章规定了绿色</w:t>
      </w:r>
      <w:proofErr w:type="gramStart"/>
      <w:r>
        <w:rPr>
          <w:rFonts w:ascii="仿宋" w:eastAsia="仿宋" w:hAnsi="仿宋" w:cs="仿宋" w:hint="eastAsia"/>
          <w:sz w:val="32"/>
          <w:szCs w:val="32"/>
        </w:rPr>
        <w:t>展装服务</w:t>
      </w:r>
      <w:proofErr w:type="gramEnd"/>
      <w:r>
        <w:rPr>
          <w:rFonts w:ascii="仿宋" w:eastAsia="仿宋" w:hAnsi="仿宋" w:cs="仿宋" w:hint="eastAsia"/>
          <w:sz w:val="32"/>
          <w:szCs w:val="32"/>
        </w:rPr>
        <w:t>的评价指标和标准、评价方法和周期以及评价等级。</w:t>
      </w:r>
    </w:p>
    <w:p w14:paraId="5B96BCAA" w14:textId="77777777" w:rsidR="0056213E" w:rsidRDefault="00000000">
      <w:pPr>
        <w:pStyle w:val="1"/>
        <w:snapToGrid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四、主要工作过程</w:t>
      </w:r>
    </w:p>
    <w:p w14:paraId="40D0AC2F"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bookmarkStart w:id="3" w:name="_Toc38452413"/>
      <w:bookmarkStart w:id="4" w:name="_Toc49768203"/>
      <w:bookmarkStart w:id="5" w:name="_Toc83614624"/>
      <w:bookmarkStart w:id="6" w:name="_Toc38550203"/>
      <w:bookmarkStart w:id="7" w:name="_Toc81550534"/>
      <w:r>
        <w:rPr>
          <w:rFonts w:ascii="楷体" w:eastAsia="楷体" w:hAnsi="楷体" w:cs="楷体" w:hint="eastAsia"/>
          <w:b/>
          <w:bCs/>
          <w:sz w:val="32"/>
          <w:szCs w:val="32"/>
        </w:rPr>
        <w:t>（一）成立工作组，制定工作计划</w:t>
      </w:r>
    </w:p>
    <w:p w14:paraId="206A6C88"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2023年12月，《绿色展装要求》经批准作为广东省地方标准正式立项后，广东会展组展企业协会联合相关单位第一时间成立了由专家学者、行业专业人士以及多家企业负责人组成的标准编制工作组，负责标准的调研、编制与指导工作。标准编制工作组制定了工作计划并召开了编制组工作人员会议，制定了标准编制工作计划，明确了任务要求、人员分工、工作进度安排等，为推进项目顺利实施奠定了良好的基础。</w:t>
      </w:r>
    </w:p>
    <w:p w14:paraId="2DD24EA3"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r>
        <w:rPr>
          <w:rFonts w:ascii="楷体" w:eastAsia="楷体" w:hAnsi="楷体" w:cs="楷体" w:hint="eastAsia"/>
          <w:b/>
          <w:bCs/>
          <w:sz w:val="32"/>
          <w:szCs w:val="32"/>
        </w:rPr>
        <w:t>（二）开展调研</w:t>
      </w:r>
    </w:p>
    <w:p w14:paraId="781F83A6" w14:textId="77777777" w:rsidR="0056213E" w:rsidRDefault="00000000">
      <w:pPr>
        <w:pStyle w:val="TOC2"/>
        <w:spacing w:line="560" w:lineRule="exact"/>
        <w:ind w:firstLineChars="200" w:firstLine="640"/>
        <w:rPr>
          <w:rFonts w:ascii="仿宋" w:eastAsia="仿宋" w:hAnsi="仿宋" w:cs="仿宋" w:hint="eastAsia"/>
          <w:color w:val="auto"/>
          <w:sz w:val="32"/>
          <w:szCs w:val="32"/>
        </w:rPr>
      </w:pPr>
      <w:r>
        <w:rPr>
          <w:rFonts w:ascii="仿宋" w:eastAsia="仿宋" w:hAnsi="仿宋" w:cs="仿宋" w:hint="eastAsia"/>
          <w:color w:val="auto"/>
          <w:sz w:val="32"/>
          <w:szCs w:val="32"/>
        </w:rPr>
        <w:t>标准编制工作组自2023年12月起至2024年4月，针对《绿色展装要求》的制定工作展开了全面且深入的研究与实地调研。期间，工作组系统梳理了国家层面和行业内已有的各类相关标准文件，广泛收集并整理了涵盖标准、学术研究论文在内的大量资料，对其中涉及的绿色展览运营、会展活动绿色管理、绿色展台、大型活动碳中和等内容进行了详尽研读。</w:t>
      </w:r>
    </w:p>
    <w:p w14:paraId="6C0A7F99" w14:textId="77777777" w:rsidR="0056213E" w:rsidRDefault="00000000">
      <w:pPr>
        <w:pStyle w:val="TOC2"/>
        <w:spacing w:line="560" w:lineRule="exact"/>
        <w:ind w:firstLineChars="200" w:firstLine="640"/>
        <w:rPr>
          <w:rFonts w:ascii="仿宋" w:eastAsia="仿宋" w:hAnsi="仿宋" w:cs="仿宋" w:hint="eastAsia"/>
          <w:color w:val="auto"/>
          <w:sz w:val="32"/>
          <w:szCs w:val="32"/>
        </w:rPr>
      </w:pPr>
      <w:r>
        <w:rPr>
          <w:rFonts w:ascii="仿宋" w:eastAsia="仿宋" w:hAnsi="仿宋" w:cs="仿宋" w:hint="eastAsia"/>
          <w:color w:val="auto"/>
          <w:sz w:val="32"/>
          <w:szCs w:val="32"/>
        </w:rPr>
        <w:t>在文献调研的基础上，工作组进一步采取了实地考察的方式，亲赴深圳、东莞、佛山、中山、珠海等地市，实地走访了一系列具有代表性的展览项目和展览展示工程企业，并组织开展了面对面的座谈交流会。通过与展览项目及企业负</w:t>
      </w:r>
      <w:r>
        <w:rPr>
          <w:rFonts w:ascii="仿宋" w:eastAsia="仿宋" w:hAnsi="仿宋" w:cs="仿宋" w:hint="eastAsia"/>
          <w:color w:val="auto"/>
          <w:sz w:val="32"/>
          <w:szCs w:val="32"/>
        </w:rPr>
        <w:lastRenderedPageBreak/>
        <w:t>责人的深度对话，工作组深入了解了各地</w:t>
      </w:r>
      <w:proofErr w:type="gramStart"/>
      <w:r>
        <w:rPr>
          <w:rFonts w:ascii="仿宋" w:eastAsia="仿宋" w:hAnsi="仿宋" w:cs="仿宋" w:hint="eastAsia"/>
          <w:color w:val="auto"/>
          <w:sz w:val="32"/>
          <w:szCs w:val="32"/>
        </w:rPr>
        <w:t>绿色展装的</w:t>
      </w:r>
      <w:proofErr w:type="gramEnd"/>
      <w:r>
        <w:rPr>
          <w:rFonts w:ascii="仿宋" w:eastAsia="仿宋" w:hAnsi="仿宋" w:cs="仿宋" w:hint="eastAsia"/>
          <w:color w:val="auto"/>
          <w:sz w:val="32"/>
          <w:szCs w:val="32"/>
        </w:rPr>
        <w:t>实施细节、技术要求和痛点难点，掌握了丰富的第一手实践资料。</w:t>
      </w:r>
    </w:p>
    <w:p w14:paraId="69CDFA01" w14:textId="77777777" w:rsidR="0056213E" w:rsidRDefault="00000000">
      <w:pPr>
        <w:pStyle w:val="TOC2"/>
        <w:spacing w:line="560" w:lineRule="exact"/>
        <w:ind w:firstLineChars="200" w:firstLine="640"/>
        <w:rPr>
          <w:rFonts w:hint="eastAsia"/>
          <w:color w:val="auto"/>
        </w:rPr>
      </w:pPr>
      <w:r>
        <w:rPr>
          <w:rFonts w:ascii="仿宋" w:eastAsia="仿宋" w:hAnsi="仿宋" w:cs="仿宋" w:hint="eastAsia"/>
          <w:color w:val="auto"/>
          <w:sz w:val="32"/>
          <w:szCs w:val="32"/>
        </w:rPr>
        <w:t>同时，标准编制工作组对所收集到的所有关于</w:t>
      </w:r>
      <w:proofErr w:type="gramStart"/>
      <w:r>
        <w:rPr>
          <w:rFonts w:ascii="仿宋" w:eastAsia="仿宋" w:hAnsi="仿宋" w:cs="仿宋" w:hint="eastAsia"/>
          <w:color w:val="auto"/>
          <w:sz w:val="32"/>
          <w:szCs w:val="32"/>
        </w:rPr>
        <w:t>绿色展装的</w:t>
      </w:r>
      <w:proofErr w:type="gramEnd"/>
      <w:r>
        <w:rPr>
          <w:rFonts w:ascii="仿宋" w:eastAsia="仿宋" w:hAnsi="仿宋" w:cs="仿宋" w:hint="eastAsia"/>
          <w:color w:val="auto"/>
          <w:sz w:val="32"/>
          <w:szCs w:val="32"/>
        </w:rPr>
        <w:t>标准、文件进行了细致严谨的分析整理，不仅横向对比了不同地区和企业的做法，也纵向挖掘了其发展演变脉络与未来趋势。经过一系列密集的专家研讨会议，工作组就编制标准的目的、基本原则、具体内容框架以及实施要求等核心议题达成了广泛的共识，制定了切实可行的工作实施方案。</w:t>
      </w:r>
    </w:p>
    <w:p w14:paraId="1DFCE815"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r>
        <w:rPr>
          <w:rFonts w:ascii="楷体" w:eastAsia="楷体" w:hAnsi="楷体" w:cs="楷体" w:hint="eastAsia"/>
          <w:b/>
          <w:bCs/>
          <w:sz w:val="32"/>
          <w:szCs w:val="32"/>
        </w:rPr>
        <w:t>（三）形成标准草案</w:t>
      </w:r>
    </w:p>
    <w:p w14:paraId="0A6040CE"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标准起草工作小组在广泛调研的基础上，按照标准化、通用化等要求，确定了《绿色展装要求》的主要内容。依据GB/T1.1-2020《标准化工作导则第1部分：标准化文件的结构和起草规则》开展起草工作。编制过程中，多次在线上或线下召开讨论会议，共同研讨标准中的技术疑难点和关键点，经过编制组多次修改，于2024年4月形成了标准草案。</w:t>
      </w:r>
    </w:p>
    <w:p w14:paraId="29A2C3C7"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r>
        <w:rPr>
          <w:rFonts w:ascii="楷体" w:eastAsia="楷体" w:hAnsi="楷体" w:cs="楷体" w:hint="eastAsia"/>
          <w:b/>
          <w:bCs/>
          <w:sz w:val="32"/>
          <w:szCs w:val="32"/>
        </w:rPr>
        <w:t>（四）工作组集中工作，形成征求意见稿</w:t>
      </w:r>
    </w:p>
    <w:p w14:paraId="643D71D2"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2024年4月至7月，标准编制工作组召开了多次工作会议，标准编制工作组主要成员及行业专家、学者参加了会议。从标准文本框架、内容、格式等方面对标准草案进行了全面讨论。标准编制工作组根据有关意见和建议对草案进行修改、调整及补充，形成了征求意见稿。</w:t>
      </w:r>
    </w:p>
    <w:p w14:paraId="24447EE6"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r>
        <w:rPr>
          <w:rFonts w:ascii="楷体" w:eastAsia="楷体" w:hAnsi="楷体" w:cs="楷体" w:hint="eastAsia"/>
          <w:b/>
          <w:bCs/>
          <w:sz w:val="32"/>
          <w:szCs w:val="32"/>
        </w:rPr>
        <w:t>（五）公开征求意见，形成送审稿</w:t>
      </w:r>
    </w:p>
    <w:p w14:paraId="72C50FD3"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标准编制工作组通过广东会展组展企业协会平台发布公告，面向全省公开征求意见。前后共收回50个单位反馈</w:t>
      </w:r>
      <w:r>
        <w:rPr>
          <w:rFonts w:ascii="仿宋" w:eastAsia="仿宋" w:hAnsi="仿宋" w:cs="仿宋" w:hint="eastAsia"/>
          <w:sz w:val="32"/>
          <w:szCs w:val="32"/>
        </w:rPr>
        <w:lastRenderedPageBreak/>
        <w:t>意见，并形成送审稿。</w:t>
      </w:r>
    </w:p>
    <w:p w14:paraId="0CFCFC6E" w14:textId="77777777" w:rsidR="0056213E" w:rsidRDefault="0056213E">
      <w:pPr>
        <w:pStyle w:val="a7"/>
      </w:pPr>
    </w:p>
    <w:p w14:paraId="606CB54A" w14:textId="77777777" w:rsidR="0056213E" w:rsidRDefault="0056213E">
      <w:pPr>
        <w:pStyle w:val="a7"/>
      </w:pPr>
    </w:p>
    <w:bookmarkEnd w:id="3"/>
    <w:bookmarkEnd w:id="4"/>
    <w:bookmarkEnd w:id="5"/>
    <w:bookmarkEnd w:id="6"/>
    <w:bookmarkEnd w:id="7"/>
    <w:p w14:paraId="4573D3F7" w14:textId="77777777" w:rsidR="0056213E" w:rsidRDefault="00000000">
      <w:pPr>
        <w:pStyle w:val="1"/>
        <w:snapToGrid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五、标准重大分歧意见的处理经过和依据</w:t>
      </w:r>
    </w:p>
    <w:p w14:paraId="07977CC8"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本文件的制定过程中未出现重大的分歧意见。</w:t>
      </w:r>
    </w:p>
    <w:p w14:paraId="599AB429" w14:textId="77777777" w:rsidR="0056213E" w:rsidRDefault="00000000">
      <w:pPr>
        <w:snapToGrid w:val="0"/>
        <w:spacing w:line="560" w:lineRule="exact"/>
        <w:ind w:firstLineChars="200" w:firstLine="640"/>
      </w:pPr>
      <w:r>
        <w:rPr>
          <w:rFonts w:ascii="仿宋" w:eastAsia="仿宋" w:hAnsi="仿宋" w:cs="仿宋" w:hint="eastAsia"/>
          <w:sz w:val="32"/>
          <w:szCs w:val="32"/>
        </w:rPr>
        <w:t>本标准与现行相关法律、法规和强制性国家标准无冲突之处。</w:t>
      </w:r>
    </w:p>
    <w:p w14:paraId="1EFE68E1" w14:textId="77777777" w:rsidR="0056213E" w:rsidRDefault="00000000">
      <w:pPr>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六、作为强制性标准或推荐性标准的建议</w:t>
      </w:r>
    </w:p>
    <w:p w14:paraId="210A4D5E"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建议在本文件通过审定后，尽快作为推荐性地方标准发布、实施。</w:t>
      </w:r>
    </w:p>
    <w:p w14:paraId="2346C985" w14:textId="77777777" w:rsidR="0056213E" w:rsidRDefault="00000000">
      <w:pPr>
        <w:pStyle w:val="1"/>
        <w:snapToGrid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七、贯彻标准的要求措施建议</w:t>
      </w:r>
    </w:p>
    <w:p w14:paraId="6DADB9E5"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在文件的后续应用实践过程中，建议做好：</w:t>
      </w:r>
    </w:p>
    <w:p w14:paraId="3CC18A71"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r>
        <w:rPr>
          <w:rFonts w:ascii="楷体" w:eastAsia="楷体" w:hAnsi="楷体" w:cs="楷体" w:hint="eastAsia"/>
          <w:b/>
          <w:bCs/>
          <w:sz w:val="32"/>
          <w:szCs w:val="32"/>
        </w:rPr>
        <w:t>（一）组织宣贯</w:t>
      </w:r>
    </w:p>
    <w:p w14:paraId="67E8DB74"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本文件发布实施后，计划组织《绿色展装要求》的专题宣贯会议，做好相关企业的培训工作，满足场馆管理和服务应用的需求。</w:t>
      </w:r>
    </w:p>
    <w:p w14:paraId="6B37D924" w14:textId="77777777" w:rsidR="0056213E" w:rsidRDefault="00000000">
      <w:pPr>
        <w:snapToGrid w:val="0"/>
        <w:spacing w:line="560" w:lineRule="exact"/>
        <w:ind w:firstLineChars="200" w:firstLine="643"/>
        <w:outlineLvl w:val="1"/>
        <w:rPr>
          <w:rFonts w:ascii="楷体" w:eastAsia="楷体" w:hAnsi="楷体" w:cs="楷体" w:hint="eastAsia"/>
          <w:b/>
          <w:bCs/>
          <w:sz w:val="32"/>
          <w:szCs w:val="32"/>
        </w:rPr>
      </w:pPr>
      <w:r>
        <w:rPr>
          <w:rFonts w:ascii="楷体" w:eastAsia="楷体" w:hAnsi="楷体" w:cs="楷体" w:hint="eastAsia"/>
          <w:b/>
          <w:bCs/>
          <w:sz w:val="32"/>
          <w:szCs w:val="32"/>
        </w:rPr>
        <w:t>（二）推广实施</w:t>
      </w:r>
    </w:p>
    <w:p w14:paraId="58921869"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编制工作组将对标准广泛宣传，并推荐具有代表性的展览项目、展览展示工程企业对标准先行试行，同时会同有关部门共同组织对标准实施进行监督检查，切实推动标准的落地实施，提升广东省展览展示工程综合能力与服务水平，促进会展业高质量发展。</w:t>
      </w:r>
    </w:p>
    <w:p w14:paraId="77BF685B" w14:textId="77777777" w:rsidR="0056213E" w:rsidRDefault="00000000">
      <w:pPr>
        <w:pStyle w:val="1"/>
        <w:snapToGrid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八、废止现行有关标准的建议</w:t>
      </w:r>
    </w:p>
    <w:p w14:paraId="051360B3"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不存在可废除的对应文件。</w:t>
      </w:r>
    </w:p>
    <w:p w14:paraId="53716D65" w14:textId="77777777" w:rsidR="0056213E" w:rsidRDefault="00000000">
      <w:pPr>
        <w:pStyle w:val="1"/>
        <w:snapToGrid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lastRenderedPageBreak/>
        <w:t>九、本标准编制说明的附件</w:t>
      </w:r>
    </w:p>
    <w:p w14:paraId="417EA8A3" w14:textId="77777777" w:rsidR="0056213E" w:rsidRDefault="00000000">
      <w:pPr>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无。</w:t>
      </w:r>
    </w:p>
    <w:p w14:paraId="3318531A" w14:textId="77777777" w:rsidR="0056213E" w:rsidRDefault="0056213E">
      <w:pPr>
        <w:snapToGrid w:val="0"/>
        <w:spacing w:line="560" w:lineRule="exact"/>
        <w:ind w:firstLineChars="200" w:firstLine="640"/>
        <w:rPr>
          <w:rFonts w:ascii="仿宋" w:eastAsia="仿宋" w:hAnsi="仿宋" w:cs="仿宋" w:hint="eastAsia"/>
          <w:sz w:val="32"/>
          <w:szCs w:val="32"/>
        </w:rPr>
      </w:pPr>
    </w:p>
    <w:p w14:paraId="4738D6C6" w14:textId="77777777" w:rsidR="0056213E" w:rsidRDefault="0056213E">
      <w:pPr>
        <w:pStyle w:val="TOC2"/>
        <w:rPr>
          <w:rFonts w:hint="eastAsia"/>
        </w:rPr>
      </w:pPr>
    </w:p>
    <w:p w14:paraId="6A944AF6" w14:textId="77777777" w:rsidR="0056213E" w:rsidRDefault="00000000">
      <w:pPr>
        <w:snapToGrid w:val="0"/>
        <w:spacing w:line="560" w:lineRule="exact"/>
        <w:ind w:firstLineChars="200" w:firstLine="640"/>
        <w:jc w:val="right"/>
        <w:rPr>
          <w:rFonts w:ascii="仿宋" w:eastAsia="仿宋" w:hAnsi="仿宋" w:cs="仿宋" w:hint="eastAsia"/>
          <w:sz w:val="32"/>
          <w:szCs w:val="32"/>
        </w:rPr>
      </w:pPr>
      <w:r>
        <w:rPr>
          <w:rFonts w:ascii="仿宋" w:eastAsia="仿宋" w:hAnsi="仿宋" w:cs="仿宋" w:hint="eastAsia"/>
          <w:sz w:val="32"/>
          <w:szCs w:val="32"/>
        </w:rPr>
        <w:t>《绿色展装要求》编制工作组</w:t>
      </w:r>
    </w:p>
    <w:p w14:paraId="560CA1D2" w14:textId="77777777" w:rsidR="0056213E" w:rsidRDefault="00000000">
      <w:pPr>
        <w:snapToGrid w:val="0"/>
        <w:spacing w:line="560" w:lineRule="exact"/>
        <w:ind w:firstLineChars="200" w:firstLine="640"/>
        <w:jc w:val="right"/>
        <w:rPr>
          <w:rFonts w:ascii="仿宋" w:eastAsia="仿宋" w:hAnsi="仿宋" w:cs="仿宋" w:hint="eastAsia"/>
          <w:sz w:val="32"/>
          <w:szCs w:val="32"/>
        </w:rPr>
      </w:pPr>
      <w:r>
        <w:rPr>
          <w:rFonts w:ascii="仿宋" w:eastAsia="仿宋" w:hAnsi="仿宋" w:cs="仿宋" w:hint="eastAsia"/>
          <w:sz w:val="32"/>
          <w:szCs w:val="32"/>
        </w:rPr>
        <w:t>2024年7月</w:t>
      </w:r>
    </w:p>
    <w:sectPr w:rsidR="0056213E">
      <w:headerReference w:type="default" r:id="rId12"/>
      <w:footerReference w:type="default" r:id="rId13"/>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E7B5" w14:textId="77777777" w:rsidR="0080053D" w:rsidRDefault="0080053D">
      <w:r>
        <w:separator/>
      </w:r>
    </w:p>
  </w:endnote>
  <w:endnote w:type="continuationSeparator" w:id="0">
    <w:p w14:paraId="2FD4E1F9" w14:textId="77777777" w:rsidR="0080053D" w:rsidRDefault="0080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287087F8-EFA7-47AF-8EE9-273D777E9B5B}"/>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2" w:subsetted="1" w:fontKey="{40F4E1D6-9BBE-427E-9D57-3F0AF3731A94}"/>
  </w:font>
  <w:font w:name="方正小标宋简体">
    <w:panose1 w:val="02000000000000000000"/>
    <w:charset w:val="86"/>
    <w:family w:val="auto"/>
    <w:pitch w:val="variable"/>
    <w:sig w:usb0="A00002BF" w:usb1="184F6CFA" w:usb2="00000012" w:usb3="00000000" w:csb0="00040001" w:csb1="00000000"/>
    <w:embedRegular r:id="rId3" w:subsetted="1" w:fontKey="{DEB26B62-FA05-47F9-AB0E-03EADC7867E9}"/>
  </w:font>
  <w:font w:name="金山简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4" w:subsetted="1" w:fontKey="{F66C1977-8B38-46E4-BEC1-0DF6675ADAB3}"/>
    <w:embedBold r:id="rId5" w:subsetted="1" w:fontKey="{294FEA1E-36A1-4873-B15F-35E16D1AA66E}"/>
  </w:font>
  <w:font w:name="楷体">
    <w:panose1 w:val="02010609060101010101"/>
    <w:charset w:val="86"/>
    <w:family w:val="modern"/>
    <w:pitch w:val="fixed"/>
    <w:sig w:usb0="800002BF" w:usb1="38CF7CFA" w:usb2="00000016" w:usb3="00000000" w:csb0="00040001" w:csb1="00000000"/>
    <w:embedBold r:id="rId6" w:subsetted="1" w:fontKey="{A7CD0014-097A-4863-8E91-AF3C8A773B25}"/>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C32F" w14:textId="77777777" w:rsidR="0056213E" w:rsidRDefault="00000000">
    <w:pPr>
      <w:pStyle w:val="ab"/>
    </w:pPr>
    <w:r>
      <w:rPr>
        <w:noProof/>
      </w:rPr>
      <mc:AlternateContent>
        <mc:Choice Requires="wps">
          <w:drawing>
            <wp:anchor distT="0" distB="0" distL="114300" distR="114300" simplePos="0" relativeHeight="251659264" behindDoc="0" locked="0" layoutInCell="1" allowOverlap="1" wp14:anchorId="0BD27200" wp14:editId="236C27D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05126" w14:textId="77777777" w:rsidR="0056213E" w:rsidRDefault="00000000">
                          <w:pPr>
                            <w:pStyle w:val="a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D2720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405126" w14:textId="77777777" w:rsidR="0056213E" w:rsidRDefault="00000000">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EEFD" w14:textId="77777777" w:rsidR="0080053D" w:rsidRDefault="0080053D">
      <w:r>
        <w:separator/>
      </w:r>
    </w:p>
  </w:footnote>
  <w:footnote w:type="continuationSeparator" w:id="0">
    <w:p w14:paraId="7EB8EE0B" w14:textId="77777777" w:rsidR="0080053D" w:rsidRDefault="0080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2EB2" w14:textId="77777777" w:rsidR="0056213E" w:rsidRDefault="0056213E">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3969"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77964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5YTIwYjk4ZWUzOWI3YTdlZmQxNTNhOWQ1Yjg2MzEifQ=="/>
  </w:docVars>
  <w:rsids>
    <w:rsidRoot w:val="00184A38"/>
    <w:rsid w:val="0001127C"/>
    <w:rsid w:val="00013F9C"/>
    <w:rsid w:val="00017C7D"/>
    <w:rsid w:val="00023D6F"/>
    <w:rsid w:val="00033FFD"/>
    <w:rsid w:val="0003666D"/>
    <w:rsid w:val="000451BD"/>
    <w:rsid w:val="00045C45"/>
    <w:rsid w:val="000933EB"/>
    <w:rsid w:val="00097565"/>
    <w:rsid w:val="000A0D03"/>
    <w:rsid w:val="000A43BD"/>
    <w:rsid w:val="000B67C6"/>
    <w:rsid w:val="000D2790"/>
    <w:rsid w:val="000D3B64"/>
    <w:rsid w:val="000D64B6"/>
    <w:rsid w:val="000D6DA9"/>
    <w:rsid w:val="000E007C"/>
    <w:rsid w:val="000E1E3E"/>
    <w:rsid w:val="00102CFA"/>
    <w:rsid w:val="00113F5D"/>
    <w:rsid w:val="00127B7C"/>
    <w:rsid w:val="00137951"/>
    <w:rsid w:val="00142D85"/>
    <w:rsid w:val="00153CE5"/>
    <w:rsid w:val="00163C9C"/>
    <w:rsid w:val="00184A38"/>
    <w:rsid w:val="001875A9"/>
    <w:rsid w:val="001925C1"/>
    <w:rsid w:val="00194DDC"/>
    <w:rsid w:val="001A0EC6"/>
    <w:rsid w:val="001A169F"/>
    <w:rsid w:val="001A2271"/>
    <w:rsid w:val="001A4716"/>
    <w:rsid w:val="001A73DB"/>
    <w:rsid w:val="001B1187"/>
    <w:rsid w:val="001B7A37"/>
    <w:rsid w:val="001C30CE"/>
    <w:rsid w:val="001E1A42"/>
    <w:rsid w:val="001E7DAC"/>
    <w:rsid w:val="001F5A6E"/>
    <w:rsid w:val="001F6089"/>
    <w:rsid w:val="0020190C"/>
    <w:rsid w:val="00210613"/>
    <w:rsid w:val="00215266"/>
    <w:rsid w:val="002256A9"/>
    <w:rsid w:val="0023454C"/>
    <w:rsid w:val="002419BB"/>
    <w:rsid w:val="0025060E"/>
    <w:rsid w:val="00252CA7"/>
    <w:rsid w:val="00256390"/>
    <w:rsid w:val="00261D55"/>
    <w:rsid w:val="002716B2"/>
    <w:rsid w:val="00294A3C"/>
    <w:rsid w:val="00296D3E"/>
    <w:rsid w:val="002A3C95"/>
    <w:rsid w:val="002A47CB"/>
    <w:rsid w:val="002A5AA8"/>
    <w:rsid w:val="002A7453"/>
    <w:rsid w:val="002C24EF"/>
    <w:rsid w:val="002D40A2"/>
    <w:rsid w:val="002D5931"/>
    <w:rsid w:val="002F0C55"/>
    <w:rsid w:val="002F49B9"/>
    <w:rsid w:val="00303F84"/>
    <w:rsid w:val="00312D98"/>
    <w:rsid w:val="00316164"/>
    <w:rsid w:val="0033446C"/>
    <w:rsid w:val="003609B6"/>
    <w:rsid w:val="00371338"/>
    <w:rsid w:val="00391B2C"/>
    <w:rsid w:val="00391DC1"/>
    <w:rsid w:val="003933A6"/>
    <w:rsid w:val="00395908"/>
    <w:rsid w:val="00397E24"/>
    <w:rsid w:val="003A0025"/>
    <w:rsid w:val="003B0552"/>
    <w:rsid w:val="003B0C3E"/>
    <w:rsid w:val="003C0700"/>
    <w:rsid w:val="003C354F"/>
    <w:rsid w:val="003D6471"/>
    <w:rsid w:val="003E3A8D"/>
    <w:rsid w:val="003F0628"/>
    <w:rsid w:val="004050BA"/>
    <w:rsid w:val="00412194"/>
    <w:rsid w:val="00415F8B"/>
    <w:rsid w:val="004171B0"/>
    <w:rsid w:val="00421BD4"/>
    <w:rsid w:val="00422CA4"/>
    <w:rsid w:val="00430F36"/>
    <w:rsid w:val="00437A3A"/>
    <w:rsid w:val="00441058"/>
    <w:rsid w:val="00451ABD"/>
    <w:rsid w:val="00464D42"/>
    <w:rsid w:val="00476294"/>
    <w:rsid w:val="00477393"/>
    <w:rsid w:val="004818C9"/>
    <w:rsid w:val="004919D3"/>
    <w:rsid w:val="004B12E2"/>
    <w:rsid w:val="004D4C71"/>
    <w:rsid w:val="004E2D22"/>
    <w:rsid w:val="004F2205"/>
    <w:rsid w:val="004F5917"/>
    <w:rsid w:val="004F664A"/>
    <w:rsid w:val="00505810"/>
    <w:rsid w:val="00507715"/>
    <w:rsid w:val="005100EB"/>
    <w:rsid w:val="00514B1A"/>
    <w:rsid w:val="00525E46"/>
    <w:rsid w:val="00533030"/>
    <w:rsid w:val="00536D43"/>
    <w:rsid w:val="005429D5"/>
    <w:rsid w:val="00543388"/>
    <w:rsid w:val="005507F5"/>
    <w:rsid w:val="00553982"/>
    <w:rsid w:val="005548F9"/>
    <w:rsid w:val="00554A0E"/>
    <w:rsid w:val="005568E1"/>
    <w:rsid w:val="00557021"/>
    <w:rsid w:val="00557E49"/>
    <w:rsid w:val="0056213E"/>
    <w:rsid w:val="00572DC1"/>
    <w:rsid w:val="005900D5"/>
    <w:rsid w:val="005A3B87"/>
    <w:rsid w:val="005B575C"/>
    <w:rsid w:val="005C0CE2"/>
    <w:rsid w:val="005C3962"/>
    <w:rsid w:val="005D1648"/>
    <w:rsid w:val="005D3E46"/>
    <w:rsid w:val="005D6BE6"/>
    <w:rsid w:val="005E439A"/>
    <w:rsid w:val="005F1FF5"/>
    <w:rsid w:val="00601295"/>
    <w:rsid w:val="00603ABD"/>
    <w:rsid w:val="00612C6D"/>
    <w:rsid w:val="00616855"/>
    <w:rsid w:val="00622F38"/>
    <w:rsid w:val="006377D1"/>
    <w:rsid w:val="00637BE8"/>
    <w:rsid w:val="00643C36"/>
    <w:rsid w:val="0065243F"/>
    <w:rsid w:val="0065627B"/>
    <w:rsid w:val="00657EDF"/>
    <w:rsid w:val="0067515F"/>
    <w:rsid w:val="00677F50"/>
    <w:rsid w:val="00682AEB"/>
    <w:rsid w:val="006942B2"/>
    <w:rsid w:val="00696667"/>
    <w:rsid w:val="006B5354"/>
    <w:rsid w:val="006C6B96"/>
    <w:rsid w:val="006E57A2"/>
    <w:rsid w:val="007021F3"/>
    <w:rsid w:val="00707193"/>
    <w:rsid w:val="00716980"/>
    <w:rsid w:val="00720B85"/>
    <w:rsid w:val="0075638E"/>
    <w:rsid w:val="0076564D"/>
    <w:rsid w:val="007706CA"/>
    <w:rsid w:val="00771E83"/>
    <w:rsid w:val="007735DD"/>
    <w:rsid w:val="00776ED3"/>
    <w:rsid w:val="007826A6"/>
    <w:rsid w:val="00783299"/>
    <w:rsid w:val="007837BF"/>
    <w:rsid w:val="007840F2"/>
    <w:rsid w:val="007975A4"/>
    <w:rsid w:val="007B19F2"/>
    <w:rsid w:val="007B31EB"/>
    <w:rsid w:val="007B320A"/>
    <w:rsid w:val="007D01E7"/>
    <w:rsid w:val="007D4279"/>
    <w:rsid w:val="007D43A2"/>
    <w:rsid w:val="007D43C3"/>
    <w:rsid w:val="007F1235"/>
    <w:rsid w:val="007F56FA"/>
    <w:rsid w:val="007F75EC"/>
    <w:rsid w:val="0080053D"/>
    <w:rsid w:val="00804B11"/>
    <w:rsid w:val="00804C0E"/>
    <w:rsid w:val="008064A0"/>
    <w:rsid w:val="00806D5E"/>
    <w:rsid w:val="00826318"/>
    <w:rsid w:val="00831815"/>
    <w:rsid w:val="00831FEC"/>
    <w:rsid w:val="0083498A"/>
    <w:rsid w:val="00841EE4"/>
    <w:rsid w:val="00843D22"/>
    <w:rsid w:val="00843D2F"/>
    <w:rsid w:val="0088614C"/>
    <w:rsid w:val="0088730C"/>
    <w:rsid w:val="00890213"/>
    <w:rsid w:val="008A5483"/>
    <w:rsid w:val="008B6660"/>
    <w:rsid w:val="008B6B82"/>
    <w:rsid w:val="008C4CB8"/>
    <w:rsid w:val="008E4A58"/>
    <w:rsid w:val="008F32F4"/>
    <w:rsid w:val="009135EC"/>
    <w:rsid w:val="00916581"/>
    <w:rsid w:val="00916CD9"/>
    <w:rsid w:val="00917CC5"/>
    <w:rsid w:val="00940933"/>
    <w:rsid w:val="00955A11"/>
    <w:rsid w:val="0096090F"/>
    <w:rsid w:val="00960ED9"/>
    <w:rsid w:val="00971F85"/>
    <w:rsid w:val="00975474"/>
    <w:rsid w:val="00975939"/>
    <w:rsid w:val="009820E9"/>
    <w:rsid w:val="009908D2"/>
    <w:rsid w:val="00990C7A"/>
    <w:rsid w:val="009972EC"/>
    <w:rsid w:val="009A3B15"/>
    <w:rsid w:val="009A3B1A"/>
    <w:rsid w:val="009B0A4C"/>
    <w:rsid w:val="009B6CC9"/>
    <w:rsid w:val="009C63C0"/>
    <w:rsid w:val="009D361F"/>
    <w:rsid w:val="009E053A"/>
    <w:rsid w:val="009E3E6C"/>
    <w:rsid w:val="009E714F"/>
    <w:rsid w:val="009F32DE"/>
    <w:rsid w:val="009F43E2"/>
    <w:rsid w:val="009F7843"/>
    <w:rsid w:val="00A018D1"/>
    <w:rsid w:val="00A07E12"/>
    <w:rsid w:val="00A1406E"/>
    <w:rsid w:val="00A15CC1"/>
    <w:rsid w:val="00A17836"/>
    <w:rsid w:val="00A2041E"/>
    <w:rsid w:val="00A2656A"/>
    <w:rsid w:val="00A27BFE"/>
    <w:rsid w:val="00A34A43"/>
    <w:rsid w:val="00A34AC0"/>
    <w:rsid w:val="00A353D1"/>
    <w:rsid w:val="00A41AEF"/>
    <w:rsid w:val="00A511AC"/>
    <w:rsid w:val="00A519E4"/>
    <w:rsid w:val="00A613C3"/>
    <w:rsid w:val="00A61647"/>
    <w:rsid w:val="00A634F9"/>
    <w:rsid w:val="00A63673"/>
    <w:rsid w:val="00A678B2"/>
    <w:rsid w:val="00A76FCA"/>
    <w:rsid w:val="00A9332B"/>
    <w:rsid w:val="00A93980"/>
    <w:rsid w:val="00A96244"/>
    <w:rsid w:val="00AA09A0"/>
    <w:rsid w:val="00AA2F26"/>
    <w:rsid w:val="00AA41D3"/>
    <w:rsid w:val="00AA627F"/>
    <w:rsid w:val="00AB14BC"/>
    <w:rsid w:val="00AB20CB"/>
    <w:rsid w:val="00AB2D30"/>
    <w:rsid w:val="00AB5609"/>
    <w:rsid w:val="00AC08A7"/>
    <w:rsid w:val="00B336A5"/>
    <w:rsid w:val="00B3789C"/>
    <w:rsid w:val="00B46664"/>
    <w:rsid w:val="00B579C6"/>
    <w:rsid w:val="00B6505C"/>
    <w:rsid w:val="00B8725B"/>
    <w:rsid w:val="00B91548"/>
    <w:rsid w:val="00BA2C17"/>
    <w:rsid w:val="00BA77AD"/>
    <w:rsid w:val="00BB47D1"/>
    <w:rsid w:val="00BC474C"/>
    <w:rsid w:val="00BE03C1"/>
    <w:rsid w:val="00C0590D"/>
    <w:rsid w:val="00C154D6"/>
    <w:rsid w:val="00C21ABC"/>
    <w:rsid w:val="00C23740"/>
    <w:rsid w:val="00C24873"/>
    <w:rsid w:val="00C30B27"/>
    <w:rsid w:val="00C3419E"/>
    <w:rsid w:val="00C344C8"/>
    <w:rsid w:val="00C34F49"/>
    <w:rsid w:val="00C5730D"/>
    <w:rsid w:val="00C74A51"/>
    <w:rsid w:val="00C814C5"/>
    <w:rsid w:val="00C83376"/>
    <w:rsid w:val="00C90E68"/>
    <w:rsid w:val="00CA1FC9"/>
    <w:rsid w:val="00CB42B3"/>
    <w:rsid w:val="00CE3AAA"/>
    <w:rsid w:val="00CF2A9D"/>
    <w:rsid w:val="00D06872"/>
    <w:rsid w:val="00D27D6D"/>
    <w:rsid w:val="00D33196"/>
    <w:rsid w:val="00D37A68"/>
    <w:rsid w:val="00D4044E"/>
    <w:rsid w:val="00D419BD"/>
    <w:rsid w:val="00D44AC9"/>
    <w:rsid w:val="00D47E23"/>
    <w:rsid w:val="00D662F7"/>
    <w:rsid w:val="00D71618"/>
    <w:rsid w:val="00D86C24"/>
    <w:rsid w:val="00D92A44"/>
    <w:rsid w:val="00D94BEA"/>
    <w:rsid w:val="00D97197"/>
    <w:rsid w:val="00DB77A3"/>
    <w:rsid w:val="00DC6FEC"/>
    <w:rsid w:val="00DD05F8"/>
    <w:rsid w:val="00E06ECD"/>
    <w:rsid w:val="00E073FD"/>
    <w:rsid w:val="00E1432A"/>
    <w:rsid w:val="00E35731"/>
    <w:rsid w:val="00E56503"/>
    <w:rsid w:val="00E60B7D"/>
    <w:rsid w:val="00E65FE9"/>
    <w:rsid w:val="00E77D99"/>
    <w:rsid w:val="00E91B19"/>
    <w:rsid w:val="00E94051"/>
    <w:rsid w:val="00EA1E3C"/>
    <w:rsid w:val="00EA4607"/>
    <w:rsid w:val="00EB6AE8"/>
    <w:rsid w:val="00EC0AFD"/>
    <w:rsid w:val="00ED0CB6"/>
    <w:rsid w:val="00ED5D30"/>
    <w:rsid w:val="00ED769A"/>
    <w:rsid w:val="00EF1C12"/>
    <w:rsid w:val="00F02ECA"/>
    <w:rsid w:val="00F07AB1"/>
    <w:rsid w:val="00F236EC"/>
    <w:rsid w:val="00F27DF8"/>
    <w:rsid w:val="00F32F99"/>
    <w:rsid w:val="00F36DBD"/>
    <w:rsid w:val="00F45401"/>
    <w:rsid w:val="00F5374F"/>
    <w:rsid w:val="00F53E09"/>
    <w:rsid w:val="00F60D58"/>
    <w:rsid w:val="00F65B09"/>
    <w:rsid w:val="00F752A6"/>
    <w:rsid w:val="00F815E1"/>
    <w:rsid w:val="00F816C0"/>
    <w:rsid w:val="00F82931"/>
    <w:rsid w:val="00F83E96"/>
    <w:rsid w:val="00F8537F"/>
    <w:rsid w:val="00FA7AD1"/>
    <w:rsid w:val="00FB2B9E"/>
    <w:rsid w:val="00FD6EF2"/>
    <w:rsid w:val="00FE63E2"/>
    <w:rsid w:val="00FF1B8A"/>
    <w:rsid w:val="00FF42D6"/>
    <w:rsid w:val="0131372E"/>
    <w:rsid w:val="019D72D4"/>
    <w:rsid w:val="022A5AA7"/>
    <w:rsid w:val="02A8425B"/>
    <w:rsid w:val="02FC2264"/>
    <w:rsid w:val="03766107"/>
    <w:rsid w:val="03930D22"/>
    <w:rsid w:val="03B72053"/>
    <w:rsid w:val="03B978B9"/>
    <w:rsid w:val="042816BE"/>
    <w:rsid w:val="04BD6459"/>
    <w:rsid w:val="04D22D03"/>
    <w:rsid w:val="04E92229"/>
    <w:rsid w:val="04EF0EAD"/>
    <w:rsid w:val="052A7B83"/>
    <w:rsid w:val="05467D77"/>
    <w:rsid w:val="062F4CFF"/>
    <w:rsid w:val="06A44D39"/>
    <w:rsid w:val="073360BD"/>
    <w:rsid w:val="079E2EF9"/>
    <w:rsid w:val="080C703A"/>
    <w:rsid w:val="08314CF2"/>
    <w:rsid w:val="08483072"/>
    <w:rsid w:val="08EB7DE5"/>
    <w:rsid w:val="09812D9C"/>
    <w:rsid w:val="09AB2883"/>
    <w:rsid w:val="0A01744B"/>
    <w:rsid w:val="0A1E4E03"/>
    <w:rsid w:val="0A821080"/>
    <w:rsid w:val="0B130CF8"/>
    <w:rsid w:val="0BA4442C"/>
    <w:rsid w:val="0C2506CA"/>
    <w:rsid w:val="0D162444"/>
    <w:rsid w:val="0DCB18E7"/>
    <w:rsid w:val="0DEB76F2"/>
    <w:rsid w:val="0E4D2388"/>
    <w:rsid w:val="0E690B10"/>
    <w:rsid w:val="0ED87C76"/>
    <w:rsid w:val="0F1024A4"/>
    <w:rsid w:val="0F317386"/>
    <w:rsid w:val="0F4845C5"/>
    <w:rsid w:val="1017289F"/>
    <w:rsid w:val="10EE74A4"/>
    <w:rsid w:val="11546752"/>
    <w:rsid w:val="11B07223"/>
    <w:rsid w:val="12E007D0"/>
    <w:rsid w:val="13CF779C"/>
    <w:rsid w:val="151802FB"/>
    <w:rsid w:val="15D35531"/>
    <w:rsid w:val="15DF4CCA"/>
    <w:rsid w:val="16900E36"/>
    <w:rsid w:val="18D53221"/>
    <w:rsid w:val="18E15A31"/>
    <w:rsid w:val="194523AC"/>
    <w:rsid w:val="1977008B"/>
    <w:rsid w:val="197D7D98"/>
    <w:rsid w:val="19FA38F7"/>
    <w:rsid w:val="1A472154"/>
    <w:rsid w:val="1B66485B"/>
    <w:rsid w:val="1B9E5DA3"/>
    <w:rsid w:val="1C5A616E"/>
    <w:rsid w:val="1C832A0D"/>
    <w:rsid w:val="1D183012"/>
    <w:rsid w:val="1D401A86"/>
    <w:rsid w:val="1DC537DF"/>
    <w:rsid w:val="1DD50587"/>
    <w:rsid w:val="1E332531"/>
    <w:rsid w:val="1E48649A"/>
    <w:rsid w:val="1EBB6115"/>
    <w:rsid w:val="1F6B2440"/>
    <w:rsid w:val="204A3924"/>
    <w:rsid w:val="2099685D"/>
    <w:rsid w:val="21293127"/>
    <w:rsid w:val="21DA00FE"/>
    <w:rsid w:val="22647913"/>
    <w:rsid w:val="226D66BC"/>
    <w:rsid w:val="23785418"/>
    <w:rsid w:val="23897791"/>
    <w:rsid w:val="23AB5BD2"/>
    <w:rsid w:val="24247062"/>
    <w:rsid w:val="24381077"/>
    <w:rsid w:val="24A26904"/>
    <w:rsid w:val="24FC0BCC"/>
    <w:rsid w:val="250D37A0"/>
    <w:rsid w:val="252160CC"/>
    <w:rsid w:val="25E02548"/>
    <w:rsid w:val="27292F06"/>
    <w:rsid w:val="276F6846"/>
    <w:rsid w:val="27952750"/>
    <w:rsid w:val="283607E6"/>
    <w:rsid w:val="28593264"/>
    <w:rsid w:val="28941167"/>
    <w:rsid w:val="292C1D6B"/>
    <w:rsid w:val="2A477590"/>
    <w:rsid w:val="2A6572C1"/>
    <w:rsid w:val="2ADC76B8"/>
    <w:rsid w:val="2BCE0A79"/>
    <w:rsid w:val="2C071397"/>
    <w:rsid w:val="2C475FE3"/>
    <w:rsid w:val="2C7229F1"/>
    <w:rsid w:val="2C9011D3"/>
    <w:rsid w:val="2D3F045E"/>
    <w:rsid w:val="2D402400"/>
    <w:rsid w:val="2EA86337"/>
    <w:rsid w:val="2F08440B"/>
    <w:rsid w:val="2F127C9B"/>
    <w:rsid w:val="2F937320"/>
    <w:rsid w:val="303804AC"/>
    <w:rsid w:val="309A31E1"/>
    <w:rsid w:val="317433D6"/>
    <w:rsid w:val="31932498"/>
    <w:rsid w:val="31C870AD"/>
    <w:rsid w:val="31F00916"/>
    <w:rsid w:val="321F263B"/>
    <w:rsid w:val="32843B1D"/>
    <w:rsid w:val="32FB6C99"/>
    <w:rsid w:val="346E6803"/>
    <w:rsid w:val="34E40873"/>
    <w:rsid w:val="358B6966"/>
    <w:rsid w:val="364C33FD"/>
    <w:rsid w:val="366C400F"/>
    <w:rsid w:val="36E71FBE"/>
    <w:rsid w:val="37076A9B"/>
    <w:rsid w:val="374E5EDD"/>
    <w:rsid w:val="38C033A5"/>
    <w:rsid w:val="38F21813"/>
    <w:rsid w:val="39F36EF5"/>
    <w:rsid w:val="3A172C28"/>
    <w:rsid w:val="3A3D7EDC"/>
    <w:rsid w:val="3B922BA9"/>
    <w:rsid w:val="3B9639C9"/>
    <w:rsid w:val="3C0E61D6"/>
    <w:rsid w:val="3C603D43"/>
    <w:rsid w:val="3D3E5A10"/>
    <w:rsid w:val="3DFD29A9"/>
    <w:rsid w:val="3E220F14"/>
    <w:rsid w:val="3E86299B"/>
    <w:rsid w:val="3ECD3869"/>
    <w:rsid w:val="3F10787C"/>
    <w:rsid w:val="3F412822"/>
    <w:rsid w:val="3F5C2EE2"/>
    <w:rsid w:val="3F9C5FCC"/>
    <w:rsid w:val="3FB60D4F"/>
    <w:rsid w:val="400D645C"/>
    <w:rsid w:val="40475320"/>
    <w:rsid w:val="40E55F43"/>
    <w:rsid w:val="40F55CDF"/>
    <w:rsid w:val="41091FA3"/>
    <w:rsid w:val="41276683"/>
    <w:rsid w:val="425923E6"/>
    <w:rsid w:val="44384737"/>
    <w:rsid w:val="44C241A2"/>
    <w:rsid w:val="44C94B66"/>
    <w:rsid w:val="44F248E6"/>
    <w:rsid w:val="450A544D"/>
    <w:rsid w:val="451F3B7C"/>
    <w:rsid w:val="453C65D5"/>
    <w:rsid w:val="45A13D48"/>
    <w:rsid w:val="45AB7E26"/>
    <w:rsid w:val="45C06792"/>
    <w:rsid w:val="46AB59D0"/>
    <w:rsid w:val="46B90B24"/>
    <w:rsid w:val="47B71E17"/>
    <w:rsid w:val="47C34360"/>
    <w:rsid w:val="482A6C89"/>
    <w:rsid w:val="483E0168"/>
    <w:rsid w:val="484566D7"/>
    <w:rsid w:val="48A51EEA"/>
    <w:rsid w:val="48FC076E"/>
    <w:rsid w:val="49F70B0E"/>
    <w:rsid w:val="4A0E73A8"/>
    <w:rsid w:val="4AAF7998"/>
    <w:rsid w:val="4B977F95"/>
    <w:rsid w:val="4C32176A"/>
    <w:rsid w:val="4CAC7312"/>
    <w:rsid w:val="4CCE3E8B"/>
    <w:rsid w:val="4CFE5A61"/>
    <w:rsid w:val="4DF826FD"/>
    <w:rsid w:val="4E555E9E"/>
    <w:rsid w:val="50001E14"/>
    <w:rsid w:val="51340BAA"/>
    <w:rsid w:val="513A0656"/>
    <w:rsid w:val="52DB356D"/>
    <w:rsid w:val="537660AA"/>
    <w:rsid w:val="53844331"/>
    <w:rsid w:val="53A74C70"/>
    <w:rsid w:val="53D004E8"/>
    <w:rsid w:val="54212386"/>
    <w:rsid w:val="5484745B"/>
    <w:rsid w:val="548B440F"/>
    <w:rsid w:val="55BE4A6C"/>
    <w:rsid w:val="560F7542"/>
    <w:rsid w:val="569E4E93"/>
    <w:rsid w:val="56AC0E10"/>
    <w:rsid w:val="576B5B9C"/>
    <w:rsid w:val="57D61E46"/>
    <w:rsid w:val="589A03BC"/>
    <w:rsid w:val="5B2735D5"/>
    <w:rsid w:val="5BCC5A39"/>
    <w:rsid w:val="5BE24306"/>
    <w:rsid w:val="5BF77619"/>
    <w:rsid w:val="5C0276AD"/>
    <w:rsid w:val="5D30024A"/>
    <w:rsid w:val="5D3F24AB"/>
    <w:rsid w:val="5D453DB9"/>
    <w:rsid w:val="5DE84681"/>
    <w:rsid w:val="5DED1C97"/>
    <w:rsid w:val="5E225B69"/>
    <w:rsid w:val="5F5519EC"/>
    <w:rsid w:val="5FF53085"/>
    <w:rsid w:val="60D972EA"/>
    <w:rsid w:val="61734BA9"/>
    <w:rsid w:val="619C7E55"/>
    <w:rsid w:val="629D42B2"/>
    <w:rsid w:val="62CE502D"/>
    <w:rsid w:val="63D222CD"/>
    <w:rsid w:val="664C6B61"/>
    <w:rsid w:val="665D643A"/>
    <w:rsid w:val="66A41056"/>
    <w:rsid w:val="66CF1E96"/>
    <w:rsid w:val="66F26A2B"/>
    <w:rsid w:val="675F1167"/>
    <w:rsid w:val="67CA4DF7"/>
    <w:rsid w:val="68A85138"/>
    <w:rsid w:val="68D1591E"/>
    <w:rsid w:val="68EF720B"/>
    <w:rsid w:val="6A0013D3"/>
    <w:rsid w:val="6A5F1306"/>
    <w:rsid w:val="6C78605D"/>
    <w:rsid w:val="6C861CC3"/>
    <w:rsid w:val="6CA3549D"/>
    <w:rsid w:val="6D0F4B4D"/>
    <w:rsid w:val="6D170FD1"/>
    <w:rsid w:val="6D926769"/>
    <w:rsid w:val="6DCE52BE"/>
    <w:rsid w:val="6DD05384"/>
    <w:rsid w:val="6DE36C13"/>
    <w:rsid w:val="6DE76703"/>
    <w:rsid w:val="6E6E1BAC"/>
    <w:rsid w:val="6F421976"/>
    <w:rsid w:val="702930A5"/>
    <w:rsid w:val="70691444"/>
    <w:rsid w:val="70A46B2D"/>
    <w:rsid w:val="70CB07E5"/>
    <w:rsid w:val="721838C7"/>
    <w:rsid w:val="72875EAD"/>
    <w:rsid w:val="758F7174"/>
    <w:rsid w:val="75CE3F47"/>
    <w:rsid w:val="766D494B"/>
    <w:rsid w:val="76D57A40"/>
    <w:rsid w:val="7849137E"/>
    <w:rsid w:val="786E4432"/>
    <w:rsid w:val="7894021D"/>
    <w:rsid w:val="790A29F7"/>
    <w:rsid w:val="7A11166F"/>
    <w:rsid w:val="7A1A39BC"/>
    <w:rsid w:val="7A8D7CE1"/>
    <w:rsid w:val="7B9417EB"/>
    <w:rsid w:val="7B995BD6"/>
    <w:rsid w:val="7B9C3E8F"/>
    <w:rsid w:val="7BA06143"/>
    <w:rsid w:val="7C3915B2"/>
    <w:rsid w:val="7C3D5D94"/>
    <w:rsid w:val="7CCC3C96"/>
    <w:rsid w:val="7DA939D5"/>
    <w:rsid w:val="7E471391"/>
    <w:rsid w:val="7F8C2C66"/>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A75CD"/>
  <w15:docId w15:val="{9E48BF95-7CD8-42CA-823A-4232A030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TOC2"/>
    <w:autoRedefine/>
    <w:qFormat/>
    <w:pPr>
      <w:widowControl w:val="0"/>
      <w:jc w:val="both"/>
    </w:pPr>
    <w:rPr>
      <w:rFonts w:ascii="Calibri" w:hAnsi="Calibri"/>
      <w:kern w:val="2"/>
      <w:sz w:val="21"/>
      <w:szCs w:val="22"/>
    </w:rPr>
  </w:style>
  <w:style w:type="paragraph" w:styleId="1">
    <w:name w:val="heading 1"/>
    <w:basedOn w:val="a1"/>
    <w:next w:val="a1"/>
    <w:autoRedefine/>
    <w:qFormat/>
    <w:pPr>
      <w:keepNext/>
      <w:keepLines/>
      <w:spacing w:before="340" w:after="330" w:line="576" w:lineRule="auto"/>
      <w:outlineLvl w:val="0"/>
    </w:pPr>
    <w:rPr>
      <w:b/>
      <w:kern w:val="44"/>
      <w:sz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2">
    <w:name w:val="toc 2"/>
    <w:basedOn w:val="a1"/>
    <w:next w:val="a1"/>
    <w:autoRedefine/>
    <w:uiPriority w:val="39"/>
    <w:qFormat/>
    <w:pPr>
      <w:tabs>
        <w:tab w:val="right" w:leader="dot" w:pos="9345"/>
      </w:tabs>
    </w:pPr>
    <w:rPr>
      <w:rFonts w:hAnsi="宋体"/>
      <w:color w:val="0000FF"/>
      <w:szCs w:val="21"/>
    </w:rPr>
  </w:style>
  <w:style w:type="paragraph" w:styleId="a5">
    <w:name w:val="annotation text"/>
    <w:basedOn w:val="a1"/>
    <w:link w:val="a6"/>
    <w:autoRedefine/>
    <w:uiPriority w:val="99"/>
    <w:semiHidden/>
    <w:unhideWhenUsed/>
    <w:qFormat/>
    <w:pPr>
      <w:jc w:val="left"/>
    </w:pPr>
  </w:style>
  <w:style w:type="paragraph" w:styleId="a7">
    <w:name w:val="Body Text"/>
    <w:basedOn w:val="a1"/>
    <w:link w:val="a8"/>
    <w:autoRedefine/>
    <w:semiHidden/>
    <w:unhideWhenUsed/>
    <w:qFormat/>
    <w:pPr>
      <w:spacing w:after="120"/>
    </w:pPr>
    <w:rPr>
      <w:rFonts w:ascii="Times New Roman" w:hAnsi="Times New Roman"/>
      <w:szCs w:val="20"/>
    </w:rPr>
  </w:style>
  <w:style w:type="paragraph" w:styleId="a9">
    <w:name w:val="Balloon Text"/>
    <w:basedOn w:val="a1"/>
    <w:link w:val="aa"/>
    <w:autoRedefine/>
    <w:uiPriority w:val="99"/>
    <w:semiHidden/>
    <w:unhideWhenUsed/>
    <w:qFormat/>
    <w:rPr>
      <w:sz w:val="18"/>
      <w:szCs w:val="18"/>
    </w:rPr>
  </w:style>
  <w:style w:type="paragraph" w:styleId="ab">
    <w:name w:val="footer"/>
    <w:basedOn w:val="a1"/>
    <w:link w:val="ac"/>
    <w:autoRedefine/>
    <w:uiPriority w:val="99"/>
    <w:unhideWhenUsed/>
    <w:qFormat/>
    <w:pPr>
      <w:tabs>
        <w:tab w:val="center" w:pos="4153"/>
        <w:tab w:val="right" w:pos="8306"/>
      </w:tabs>
      <w:snapToGrid w:val="0"/>
      <w:jc w:val="left"/>
    </w:pPr>
    <w:rPr>
      <w:sz w:val="18"/>
      <w:szCs w:val="18"/>
    </w:rPr>
  </w:style>
  <w:style w:type="paragraph" w:styleId="ad">
    <w:name w:val="header"/>
    <w:basedOn w:val="a1"/>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1"/>
    <w:link w:val="30"/>
    <w:autoRedefine/>
    <w:uiPriority w:val="99"/>
    <w:semiHidden/>
    <w:unhideWhenUsed/>
    <w:qFormat/>
    <w:pPr>
      <w:spacing w:after="120"/>
      <w:ind w:leftChars="200" w:left="420"/>
    </w:pPr>
    <w:rPr>
      <w:sz w:val="16"/>
      <w:szCs w:val="16"/>
    </w:rPr>
  </w:style>
  <w:style w:type="paragraph" w:styleId="af">
    <w:name w:val="Normal (Web)"/>
    <w:basedOn w:val="a1"/>
    <w:autoRedefine/>
    <w:unhideWhenUsed/>
    <w:qFormat/>
    <w:pPr>
      <w:widowControl/>
      <w:spacing w:before="100" w:beforeAutospacing="1" w:after="100" w:afterAutospacing="1"/>
      <w:jc w:val="left"/>
    </w:pPr>
    <w:rPr>
      <w:rFonts w:ascii="宋体" w:hAnsi="宋体" w:cs="宋体"/>
      <w:kern w:val="0"/>
      <w:sz w:val="18"/>
      <w:szCs w:val="18"/>
    </w:rPr>
  </w:style>
  <w:style w:type="paragraph" w:styleId="af0">
    <w:name w:val="annotation subject"/>
    <w:basedOn w:val="a5"/>
    <w:next w:val="a5"/>
    <w:link w:val="af1"/>
    <w:autoRedefine/>
    <w:uiPriority w:val="99"/>
    <w:semiHidden/>
    <w:unhideWhenUsed/>
    <w:qFormat/>
    <w:rPr>
      <w:b/>
      <w:bCs/>
    </w:rPr>
  </w:style>
  <w:style w:type="character" w:styleId="af2">
    <w:name w:val="Strong"/>
    <w:basedOn w:val="a2"/>
    <w:autoRedefine/>
    <w:uiPriority w:val="22"/>
    <w:qFormat/>
    <w:rPr>
      <w:b/>
    </w:rPr>
  </w:style>
  <w:style w:type="character" w:styleId="af3">
    <w:name w:val="Emphasis"/>
    <w:autoRedefine/>
    <w:uiPriority w:val="20"/>
    <w:qFormat/>
    <w:rPr>
      <w:color w:val="CC0033"/>
    </w:rPr>
  </w:style>
  <w:style w:type="character" w:styleId="af4">
    <w:name w:val="annotation reference"/>
    <w:basedOn w:val="a2"/>
    <w:autoRedefine/>
    <w:uiPriority w:val="99"/>
    <w:semiHidden/>
    <w:unhideWhenUsed/>
    <w:qFormat/>
    <w:rPr>
      <w:sz w:val="21"/>
      <w:szCs w:val="21"/>
    </w:rPr>
  </w:style>
  <w:style w:type="character" w:customStyle="1" w:styleId="ae">
    <w:name w:val="页眉 字符"/>
    <w:link w:val="ad"/>
    <w:autoRedefine/>
    <w:uiPriority w:val="99"/>
    <w:qFormat/>
    <w:rPr>
      <w:sz w:val="18"/>
      <w:szCs w:val="18"/>
    </w:rPr>
  </w:style>
  <w:style w:type="character" w:customStyle="1" w:styleId="ac">
    <w:name w:val="页脚 字符"/>
    <w:link w:val="ab"/>
    <w:autoRedefine/>
    <w:uiPriority w:val="99"/>
    <w:qFormat/>
    <w:rPr>
      <w:sz w:val="18"/>
      <w:szCs w:val="18"/>
    </w:rPr>
  </w:style>
  <w:style w:type="paragraph" w:customStyle="1" w:styleId="af5">
    <w:name w:val="段"/>
    <w:autoRedefine/>
    <w:qFormat/>
    <w:pPr>
      <w:autoSpaceDE w:val="0"/>
      <w:autoSpaceDN w:val="0"/>
      <w:ind w:firstLineChars="200" w:firstLine="200"/>
      <w:jc w:val="both"/>
    </w:pPr>
    <w:rPr>
      <w:rFonts w:ascii="宋体"/>
      <w:sz w:val="21"/>
    </w:rPr>
  </w:style>
  <w:style w:type="character" w:customStyle="1" w:styleId="st">
    <w:name w:val="st"/>
    <w:basedOn w:val="a2"/>
    <w:autoRedefine/>
    <w:qFormat/>
  </w:style>
  <w:style w:type="character" w:customStyle="1" w:styleId="aa">
    <w:name w:val="批注框文本 字符"/>
    <w:link w:val="a9"/>
    <w:autoRedefine/>
    <w:uiPriority w:val="99"/>
    <w:semiHidden/>
    <w:qFormat/>
    <w:rPr>
      <w:sz w:val="18"/>
      <w:szCs w:val="18"/>
    </w:rPr>
  </w:style>
  <w:style w:type="character" w:customStyle="1" w:styleId="a8">
    <w:name w:val="正文文本 字符"/>
    <w:link w:val="a7"/>
    <w:autoRedefine/>
    <w:semiHidden/>
    <w:qFormat/>
    <w:rPr>
      <w:rFonts w:ascii="Times New Roman" w:hAnsi="Times New Roman"/>
      <w:kern w:val="2"/>
      <w:sz w:val="21"/>
    </w:rPr>
  </w:style>
  <w:style w:type="character" w:customStyle="1" w:styleId="ymy-zw">
    <w:name w:val="ymy-zw"/>
    <w:autoRedefine/>
    <w:qFormat/>
  </w:style>
  <w:style w:type="character" w:customStyle="1" w:styleId="30">
    <w:name w:val="正文文本缩进 3 字符"/>
    <w:link w:val="3"/>
    <w:autoRedefine/>
    <w:uiPriority w:val="99"/>
    <w:semiHidden/>
    <w:qFormat/>
    <w:rPr>
      <w:kern w:val="2"/>
      <w:sz w:val="16"/>
      <w:szCs w:val="16"/>
    </w:rPr>
  </w:style>
  <w:style w:type="character" w:customStyle="1" w:styleId="a6">
    <w:name w:val="批注文字 字符"/>
    <w:basedOn w:val="a2"/>
    <w:link w:val="a5"/>
    <w:autoRedefine/>
    <w:uiPriority w:val="99"/>
    <w:semiHidden/>
    <w:qFormat/>
    <w:rPr>
      <w:kern w:val="2"/>
      <w:sz w:val="21"/>
      <w:szCs w:val="22"/>
    </w:rPr>
  </w:style>
  <w:style w:type="character" w:customStyle="1" w:styleId="af1">
    <w:name w:val="批注主题 字符"/>
    <w:basedOn w:val="a6"/>
    <w:link w:val="af0"/>
    <w:autoRedefine/>
    <w:uiPriority w:val="99"/>
    <w:semiHidden/>
    <w:qFormat/>
    <w:rPr>
      <w:b/>
      <w:bCs/>
      <w:kern w:val="2"/>
      <w:sz w:val="21"/>
      <w:szCs w:val="22"/>
    </w:rPr>
  </w:style>
  <w:style w:type="paragraph" w:customStyle="1" w:styleId="10">
    <w:name w:val="修订1"/>
    <w:autoRedefine/>
    <w:hidden/>
    <w:uiPriority w:val="99"/>
    <w:semiHidden/>
    <w:qFormat/>
    <w:rPr>
      <w:rFonts w:ascii="Calibri" w:hAnsi="Calibri"/>
      <w:kern w:val="2"/>
      <w:sz w:val="21"/>
      <w:szCs w:val="22"/>
    </w:rPr>
  </w:style>
  <w:style w:type="paragraph" w:styleId="af6">
    <w:name w:val="List Paragraph"/>
    <w:basedOn w:val="a1"/>
    <w:autoRedefine/>
    <w:uiPriority w:val="34"/>
    <w:qFormat/>
    <w:pPr>
      <w:ind w:firstLineChars="200" w:firstLine="420"/>
    </w:pPr>
  </w:style>
  <w:style w:type="paragraph" w:customStyle="1" w:styleId="a">
    <w:name w:val="章标题"/>
    <w:next w:val="af5"/>
    <w:autoRedefine/>
    <w:qFormat/>
    <w:pPr>
      <w:numPr>
        <w:numId w:val="1"/>
      </w:numPr>
      <w:spacing w:beforeLines="100" w:before="312" w:afterLines="100" w:after="312"/>
      <w:jc w:val="both"/>
      <w:outlineLvl w:val="1"/>
    </w:pPr>
    <w:rPr>
      <w:rFonts w:ascii="黑体" w:eastAsia="黑体"/>
      <w:sz w:val="21"/>
    </w:rPr>
  </w:style>
  <w:style w:type="paragraph" w:customStyle="1" w:styleId="a0">
    <w:name w:val="一级条标题"/>
    <w:next w:val="af5"/>
    <w:qFormat/>
    <w:pPr>
      <w:numPr>
        <w:ilvl w:val="1"/>
        <w:numId w:val="1"/>
      </w:numPr>
      <w:spacing w:beforeLines="50" w:before="156" w:afterLines="50" w:after="156"/>
      <w:outlineLvl w:val="2"/>
    </w:pPr>
    <w:rPr>
      <w:rFonts w:ascii="黑体" w:eastAsia="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td.samr.gov.cn/gb/search/gbDetailed?id=D4BEFFF4EAE1B241E05397BE0A0AF58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p.weixin.qq.com/s?__biz=MzA4MDA0MzcwMA==&amp;mid=2652573142&amp;idx=1&amp;sn=03186dd330a77f2e27fef065c3f0f779&amp;scene=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9F3B6A4-A687-4769-A447-4AF3AFE842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2494</Words>
  <Characters>2595</Characters>
  <DocSecurity>0</DocSecurity>
  <Lines>129</Lines>
  <Paragraphs>80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2022-10-13T08:24:00Z</cp:lastPrinted>
  <dcterms:created xsi:type="dcterms:W3CDTF">2017-10-13T08:39:00Z</dcterms:created>
  <dcterms:modified xsi:type="dcterms:W3CDTF">2025-08-13T03:52:00Z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64983F89C3E14D2589A6B092B4BF1F26_13</vt:lpwstr>
  </property>
  <property fmtid="{D5CDD505-2E9C-101B-9397-08002B2CF9AE}" pid="4" name="KSOTemplateDocerSaveRecord">
    <vt:lpwstr>eyJoZGlkIjoiYjg4NmE0Yjk1YzNlNjE3YzcyODc0MWM4OGQ3OTE5MTMiLCJ1c2VySWQiOiIyNDk0MzI3NjYifQ==</vt:lpwstr>
  </property>
</Properties>
</file>